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9CCB" w14:textId="629D6243" w:rsidR="00354A4E" w:rsidRPr="005345F3" w:rsidRDefault="00354A4E" w:rsidP="00354A4E">
      <w:pPr>
        <w:jc w:val="right"/>
        <w:rPr>
          <w:sz w:val="24"/>
        </w:rPr>
      </w:pPr>
      <w:r w:rsidRPr="005345F3">
        <w:rPr>
          <w:sz w:val="24"/>
        </w:rPr>
        <w:t xml:space="preserve">Warszawa </w:t>
      </w:r>
      <w:r w:rsidR="00A34A71">
        <w:rPr>
          <w:sz w:val="24"/>
        </w:rPr>
        <w:t>17</w:t>
      </w:r>
      <w:r w:rsidR="009D09E5">
        <w:rPr>
          <w:sz w:val="24"/>
        </w:rPr>
        <w:t>.12</w:t>
      </w:r>
      <w:r w:rsidRPr="005345F3">
        <w:rPr>
          <w:sz w:val="24"/>
        </w:rPr>
        <w:t>.2015 r.</w:t>
      </w:r>
    </w:p>
    <w:p w14:paraId="2DCA000C" w14:textId="77777777" w:rsidR="00A418D2" w:rsidRDefault="00A418D2" w:rsidP="00355970">
      <w:pPr>
        <w:jc w:val="both"/>
        <w:rPr>
          <w:b/>
          <w:sz w:val="24"/>
        </w:rPr>
      </w:pPr>
    </w:p>
    <w:p w14:paraId="3970A034" w14:textId="77777777" w:rsidR="003924D9" w:rsidRPr="005345F3" w:rsidRDefault="00C3089A" w:rsidP="00355970">
      <w:pPr>
        <w:jc w:val="both"/>
        <w:rPr>
          <w:b/>
          <w:sz w:val="24"/>
        </w:rPr>
      </w:pPr>
      <w:r w:rsidRPr="005345F3">
        <w:rPr>
          <w:b/>
          <w:sz w:val="24"/>
        </w:rPr>
        <w:t>CEL</w:t>
      </w:r>
      <w:r w:rsidR="00506A33" w:rsidRPr="005345F3">
        <w:rPr>
          <w:b/>
          <w:sz w:val="24"/>
        </w:rPr>
        <w:t>:</w:t>
      </w:r>
    </w:p>
    <w:p w14:paraId="30BECE8C" w14:textId="77777777" w:rsidR="00506A33" w:rsidRPr="005345F3" w:rsidRDefault="00506A33" w:rsidP="00355970">
      <w:pPr>
        <w:jc w:val="both"/>
      </w:pPr>
    </w:p>
    <w:p w14:paraId="23069AAA" w14:textId="77777777" w:rsidR="00A62834" w:rsidRPr="005345F3" w:rsidRDefault="00506A33" w:rsidP="00355970">
      <w:pPr>
        <w:jc w:val="both"/>
      </w:pPr>
      <w:r w:rsidRPr="005345F3">
        <w:t>Określenie maksymalnej kwoty dofinansowa</w:t>
      </w:r>
      <w:r w:rsidR="00F17406" w:rsidRPr="005345F3">
        <w:t xml:space="preserve">nia projektów z </w:t>
      </w:r>
      <w:r w:rsidR="00A62834" w:rsidRPr="005345F3">
        <w:t>zakresu VIII osi priorytetowej PO IiŚ 2014-2020 „Ochrona dziedzictwa kulturowego i rozwój zasobów kultury”</w:t>
      </w:r>
      <w:r w:rsidR="00F17406" w:rsidRPr="005345F3">
        <w:t xml:space="preserve">. </w:t>
      </w:r>
    </w:p>
    <w:p w14:paraId="4F684260" w14:textId="77777777" w:rsidR="00A62834" w:rsidRPr="005345F3" w:rsidRDefault="00A62834" w:rsidP="00355970">
      <w:pPr>
        <w:jc w:val="both"/>
      </w:pPr>
    </w:p>
    <w:p w14:paraId="6DC735D0" w14:textId="3D0A37AB" w:rsidR="001E3931" w:rsidRPr="005345F3" w:rsidRDefault="00C3089A" w:rsidP="00552F52">
      <w:pPr>
        <w:jc w:val="both"/>
      </w:pPr>
      <w:r w:rsidRPr="005345F3">
        <w:t xml:space="preserve">Aby </w:t>
      </w:r>
      <w:r w:rsidR="00E91300">
        <w:t>określić</w:t>
      </w:r>
      <w:r w:rsidR="00A62834" w:rsidRPr="005345F3">
        <w:t xml:space="preserve"> </w:t>
      </w:r>
      <w:r w:rsidR="00F17406" w:rsidRPr="005345F3">
        <w:t xml:space="preserve">maksymalny poziom dofinansowania projektu </w:t>
      </w:r>
      <w:r w:rsidR="008061B1" w:rsidRPr="005345F3">
        <w:t xml:space="preserve">środkami </w:t>
      </w:r>
      <w:r w:rsidR="00E91300">
        <w:t>Europejskiego Funduszu Rozwoju Regionalnego (EFRR)</w:t>
      </w:r>
      <w:r w:rsidR="00A62834" w:rsidRPr="005345F3">
        <w:t xml:space="preserve">, </w:t>
      </w:r>
      <w:r w:rsidR="00970574" w:rsidRPr="005345F3">
        <w:t>konieczn</w:t>
      </w:r>
      <w:r w:rsidR="00970574">
        <w:t>e</w:t>
      </w:r>
      <w:r w:rsidR="00970574" w:rsidRPr="005345F3">
        <w:t xml:space="preserve"> </w:t>
      </w:r>
      <w:r w:rsidR="00F17406" w:rsidRPr="005345F3">
        <w:t>jest</w:t>
      </w:r>
      <w:r w:rsidR="00970574">
        <w:t xml:space="preserve">, w pierwszej kolejności  przeanalizowanie, czy </w:t>
      </w:r>
      <w:r w:rsidR="00B84338">
        <w:t>dofinansowanie stanowi pomoc publiczną</w:t>
      </w:r>
      <w:r w:rsidR="00EE5189" w:rsidRPr="005345F3">
        <w:t xml:space="preserve">. W tym celu należy zastosować tzw. </w:t>
      </w:r>
      <w:proofErr w:type="spellStart"/>
      <w:r w:rsidR="00EE5189" w:rsidRPr="005345F3">
        <w:rPr>
          <w:i/>
        </w:rPr>
        <w:t>state</w:t>
      </w:r>
      <w:proofErr w:type="spellEnd"/>
      <w:r w:rsidR="00EE5189" w:rsidRPr="005345F3">
        <w:rPr>
          <w:i/>
        </w:rPr>
        <w:t xml:space="preserve"> </w:t>
      </w:r>
      <w:proofErr w:type="spellStart"/>
      <w:r w:rsidR="00EE5189" w:rsidRPr="005345F3">
        <w:rPr>
          <w:i/>
        </w:rPr>
        <w:t>aid</w:t>
      </w:r>
      <w:proofErr w:type="spellEnd"/>
      <w:r w:rsidR="00EE5189" w:rsidRPr="005345F3">
        <w:rPr>
          <w:i/>
        </w:rPr>
        <w:t xml:space="preserve"> </w:t>
      </w:r>
      <w:proofErr w:type="spellStart"/>
      <w:r w:rsidR="00EE5189" w:rsidRPr="005345F3">
        <w:rPr>
          <w:i/>
        </w:rPr>
        <w:t>grid</w:t>
      </w:r>
      <w:proofErr w:type="spellEnd"/>
      <w:r w:rsidR="005F2C2A">
        <w:rPr>
          <w:rStyle w:val="Odwoanieprzypisudolnego"/>
          <w:i/>
        </w:rPr>
        <w:footnoteReference w:id="2"/>
      </w:r>
      <w:r w:rsidR="00552F52">
        <w:rPr>
          <w:i/>
        </w:rPr>
        <w:t xml:space="preserve"> </w:t>
      </w:r>
      <w:r w:rsidR="00552F52">
        <w:t xml:space="preserve">oraz </w:t>
      </w:r>
      <w:r w:rsidR="00552F52" w:rsidRPr="009D09E5">
        <w:rPr>
          <w:i/>
        </w:rPr>
        <w:t>Projekt - Zawiadomienie Komisji w sprawie pojęcia pomocy państwa w rozumieniu art.</w:t>
      </w:r>
      <w:r w:rsidR="00552F52">
        <w:rPr>
          <w:i/>
        </w:rPr>
        <w:t xml:space="preserve"> </w:t>
      </w:r>
      <w:r w:rsidR="00552F52" w:rsidRPr="009D09E5">
        <w:rPr>
          <w:i/>
        </w:rPr>
        <w:t>107 ust. 1 TFUE</w:t>
      </w:r>
      <w:r w:rsidR="00552F52">
        <w:rPr>
          <w:rStyle w:val="Odwoanieprzypisudolnego"/>
        </w:rPr>
        <w:t xml:space="preserve"> </w:t>
      </w:r>
      <w:r w:rsidR="00552F52">
        <w:rPr>
          <w:rStyle w:val="Odwoanieprzypisudolnego"/>
        </w:rPr>
        <w:footnoteReference w:id="3"/>
      </w:r>
      <w:r w:rsidR="001E3931" w:rsidRPr="005345F3">
        <w:t xml:space="preserve">. </w:t>
      </w:r>
    </w:p>
    <w:p w14:paraId="0E685DB5" w14:textId="77777777" w:rsidR="001E3931" w:rsidRPr="005345F3" w:rsidRDefault="001E3931" w:rsidP="00355970">
      <w:pPr>
        <w:jc w:val="both"/>
      </w:pPr>
    </w:p>
    <w:p w14:paraId="54DFA6DE" w14:textId="77777777" w:rsidR="00EE5189" w:rsidRPr="005345F3" w:rsidRDefault="001E3931" w:rsidP="00355970">
      <w:pPr>
        <w:jc w:val="both"/>
      </w:pPr>
      <w:r w:rsidRPr="005345F3">
        <w:t xml:space="preserve">Jeśli wykazano poprawnie, że w projekcie nie występuje pomoc publiczna, </w:t>
      </w:r>
      <w:r w:rsidR="00A62834" w:rsidRPr="005345F3">
        <w:t xml:space="preserve">poziom </w:t>
      </w:r>
      <w:r w:rsidRPr="005345F3">
        <w:rPr>
          <w:b/>
        </w:rPr>
        <w:t>dofinansowania z EFRR</w:t>
      </w:r>
      <w:r w:rsidR="00A62834" w:rsidRPr="005345F3">
        <w:t xml:space="preserve"> oblicz</w:t>
      </w:r>
      <w:r w:rsidR="00C3089A" w:rsidRPr="005345F3">
        <w:t>any</w:t>
      </w:r>
      <w:r w:rsidRPr="005345F3">
        <w:t xml:space="preserve"> </w:t>
      </w:r>
      <w:r w:rsidR="00ED7A27">
        <w:t xml:space="preserve">jest </w:t>
      </w:r>
      <w:r w:rsidR="00595E57">
        <w:t xml:space="preserve">zgodnie z </w:t>
      </w:r>
      <w:r w:rsidRPr="005345F3">
        <w:t>art. 61</w:t>
      </w:r>
      <w:r w:rsidR="00A62834" w:rsidRPr="005345F3">
        <w:t xml:space="preserve"> Rozporządzenia 1303</w:t>
      </w:r>
      <w:r w:rsidRPr="005345F3">
        <w:t>/2013</w:t>
      </w:r>
      <w:r w:rsidR="00354A4E" w:rsidRPr="005345F3">
        <w:t>, tj. za pomocą wskaźnika luki w finansowaniu</w:t>
      </w:r>
      <w:r w:rsidR="00595E57">
        <w:rPr>
          <w:rStyle w:val="Odwoanieprzypisudolnego"/>
        </w:rPr>
        <w:footnoteReference w:id="4"/>
      </w:r>
      <w:r w:rsidR="007F3994">
        <w:t>.</w:t>
      </w:r>
    </w:p>
    <w:p w14:paraId="231182BE" w14:textId="77777777" w:rsidR="00A62834" w:rsidRPr="005345F3" w:rsidRDefault="00A62834" w:rsidP="00355970">
      <w:pPr>
        <w:jc w:val="both"/>
      </w:pPr>
    </w:p>
    <w:p w14:paraId="71D182AB" w14:textId="30C0CE15" w:rsidR="001E3931" w:rsidRPr="005345F3" w:rsidRDefault="000B6E59" w:rsidP="00355970">
      <w:pPr>
        <w:jc w:val="both"/>
      </w:pPr>
      <w:r w:rsidRPr="005345F3">
        <w:t xml:space="preserve">Jeśli </w:t>
      </w:r>
      <w:r w:rsidR="00595E57">
        <w:t xml:space="preserve">analiza w oparciu o </w:t>
      </w:r>
      <w:proofErr w:type="spellStart"/>
      <w:r w:rsidR="00595E57" w:rsidRPr="00316187">
        <w:rPr>
          <w:i/>
        </w:rPr>
        <w:t>state</w:t>
      </w:r>
      <w:proofErr w:type="spellEnd"/>
      <w:r w:rsidR="00595E57" w:rsidRPr="00316187">
        <w:rPr>
          <w:i/>
        </w:rPr>
        <w:t xml:space="preserve"> </w:t>
      </w:r>
      <w:proofErr w:type="spellStart"/>
      <w:r w:rsidR="00595E57" w:rsidRPr="00316187">
        <w:rPr>
          <w:i/>
        </w:rPr>
        <w:t>aid</w:t>
      </w:r>
      <w:proofErr w:type="spellEnd"/>
      <w:r w:rsidR="00595E57" w:rsidRPr="00316187">
        <w:rPr>
          <w:i/>
        </w:rPr>
        <w:t xml:space="preserve"> </w:t>
      </w:r>
      <w:proofErr w:type="spellStart"/>
      <w:r w:rsidR="00595E57" w:rsidRPr="00316187">
        <w:rPr>
          <w:i/>
        </w:rPr>
        <w:t>gri</w:t>
      </w:r>
      <w:r w:rsidR="005F2C2A" w:rsidRPr="00316187">
        <w:rPr>
          <w:i/>
        </w:rPr>
        <w:t>d</w:t>
      </w:r>
      <w:proofErr w:type="spellEnd"/>
      <w:r w:rsidR="00595E57">
        <w:t xml:space="preserve"> wykaże, że</w:t>
      </w:r>
      <w:r w:rsidR="005F2C2A">
        <w:t xml:space="preserve"> w projekcie występuje pomoc publiczna, należy </w:t>
      </w:r>
      <w:r w:rsidR="001E3931" w:rsidRPr="005345F3">
        <w:t>zastosować poniższe kroki</w:t>
      </w:r>
      <w:r w:rsidR="00A539F6">
        <w:t xml:space="preserve">: Krok I: wyliczenie maksymalnej wielkości pomocy </w:t>
      </w:r>
      <w:r w:rsidR="009617F7">
        <w:t xml:space="preserve">inwestycyjnej </w:t>
      </w:r>
      <w:r w:rsidR="005D0264">
        <w:t>zgodnie</w:t>
      </w:r>
      <w:r w:rsidR="00595E57">
        <w:t xml:space="preserve"> z metodologią opisaną w </w:t>
      </w:r>
      <w:r w:rsidR="00595E57" w:rsidRPr="00595E57">
        <w:t>rozporządzeni</w:t>
      </w:r>
      <w:r w:rsidR="005F2C2A">
        <w:t>u</w:t>
      </w:r>
      <w:r w:rsidR="00595E57" w:rsidRPr="00595E57">
        <w:t xml:space="preserve"> w sprawie wyłączeń blokowych</w:t>
      </w:r>
      <w:r w:rsidR="005F2C2A">
        <w:rPr>
          <w:rStyle w:val="Odwoanieprzypisudolnego"/>
        </w:rPr>
        <w:footnoteReference w:id="5"/>
      </w:r>
      <w:r w:rsidR="005F2C2A" w:rsidRPr="005345F3">
        <w:t xml:space="preserve"> </w:t>
      </w:r>
      <w:r w:rsidR="00595E57">
        <w:t xml:space="preserve">(General Block </w:t>
      </w:r>
      <w:proofErr w:type="spellStart"/>
      <w:r w:rsidR="00595E57">
        <w:t>Exemption</w:t>
      </w:r>
      <w:proofErr w:type="spellEnd"/>
      <w:r w:rsidR="00595E57">
        <w:t xml:space="preserve"> </w:t>
      </w:r>
      <w:proofErr w:type="spellStart"/>
      <w:r w:rsidR="00595E57">
        <w:t>Regulation</w:t>
      </w:r>
      <w:proofErr w:type="spellEnd"/>
      <w:r w:rsidR="00595E57">
        <w:t xml:space="preserve"> – „GBER”)</w:t>
      </w:r>
      <w:r w:rsidR="00A539F6">
        <w:t xml:space="preserve">; oraz Krok II: </w:t>
      </w:r>
      <w:r w:rsidR="001E3931" w:rsidRPr="005345F3">
        <w:t xml:space="preserve"> </w:t>
      </w:r>
      <w:r w:rsidR="00A539F6">
        <w:t xml:space="preserve">obliczenie wielkości dofinansowania z EFRR. </w:t>
      </w:r>
    </w:p>
    <w:p w14:paraId="0D8EDD8C" w14:textId="77777777" w:rsidR="008061B1" w:rsidRDefault="008061B1" w:rsidP="00355970">
      <w:pPr>
        <w:jc w:val="both"/>
      </w:pPr>
    </w:p>
    <w:p w14:paraId="1410480E" w14:textId="6FAED5B1" w:rsidR="00F314D8" w:rsidRPr="00723ECF" w:rsidRDefault="00A135E3" w:rsidP="00A1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trike/>
        </w:rPr>
      </w:pPr>
      <w:r w:rsidRPr="00723ECF">
        <w:t>UWAGA: w wytycznych stosowane są dwa pojęcia, które nie są tożsame: „zysk operacyjny” liczony zgodnie z regulacją GBER i opisany w Kroku I, punkcie 2; oraz „zysk netto” liczony zgodnie z krajowymi standardami rachunkowości i opisany w Załączniku</w:t>
      </w:r>
      <w:r w:rsidR="00F314D8" w:rsidRPr="00723ECF">
        <w:t xml:space="preserve">. </w:t>
      </w:r>
    </w:p>
    <w:p w14:paraId="3CD60E44" w14:textId="77777777" w:rsidR="00A418D2" w:rsidRDefault="00A418D2" w:rsidP="00355970">
      <w:pPr>
        <w:pStyle w:val="Akapitzlist"/>
        <w:jc w:val="both"/>
        <w:rPr>
          <w:b/>
        </w:rPr>
      </w:pPr>
    </w:p>
    <w:p w14:paraId="7AEE0856" w14:textId="77777777" w:rsidR="00506A33" w:rsidRDefault="00F05A6E" w:rsidP="00355970">
      <w:pPr>
        <w:pStyle w:val="Akapitzlist"/>
        <w:jc w:val="both"/>
        <w:rPr>
          <w:b/>
        </w:rPr>
      </w:pPr>
      <w:r w:rsidRPr="005345F3">
        <w:rPr>
          <w:b/>
        </w:rPr>
        <w:t xml:space="preserve">Krok </w:t>
      </w:r>
      <w:r w:rsidR="00970574">
        <w:rPr>
          <w:b/>
        </w:rPr>
        <w:t>I</w:t>
      </w:r>
      <w:r w:rsidRPr="005345F3">
        <w:rPr>
          <w:b/>
        </w:rPr>
        <w:t xml:space="preserve">: </w:t>
      </w:r>
      <w:r w:rsidR="00506A33" w:rsidRPr="005345F3">
        <w:rPr>
          <w:b/>
        </w:rPr>
        <w:t xml:space="preserve">Obliczenie </w:t>
      </w:r>
      <w:r w:rsidR="00D15B9D" w:rsidRPr="005345F3">
        <w:rPr>
          <w:b/>
        </w:rPr>
        <w:t>maksymalnej</w:t>
      </w:r>
      <w:r w:rsidR="000B6E59" w:rsidRPr="005345F3">
        <w:rPr>
          <w:b/>
        </w:rPr>
        <w:t xml:space="preserve"> </w:t>
      </w:r>
      <w:r w:rsidR="00506A33" w:rsidRPr="005345F3">
        <w:rPr>
          <w:b/>
        </w:rPr>
        <w:t xml:space="preserve">wielkości dofinansowania </w:t>
      </w:r>
      <w:r w:rsidR="00D15B9D" w:rsidRPr="005345F3">
        <w:rPr>
          <w:b/>
        </w:rPr>
        <w:t xml:space="preserve">ze środków publicznych (EFRR + środki krajowe) </w:t>
      </w:r>
      <w:r w:rsidR="00C3089A" w:rsidRPr="005345F3">
        <w:rPr>
          <w:b/>
        </w:rPr>
        <w:t xml:space="preserve">w </w:t>
      </w:r>
      <w:r w:rsidR="00D15B9D" w:rsidRPr="005345F3">
        <w:rPr>
          <w:b/>
        </w:rPr>
        <w:t xml:space="preserve">oparciu o metodologię GBER </w:t>
      </w:r>
    </w:p>
    <w:p w14:paraId="18C2CFF1" w14:textId="77777777" w:rsidR="008F65F8" w:rsidRPr="005345F3" w:rsidRDefault="008F65F8" w:rsidP="00355970">
      <w:pPr>
        <w:pStyle w:val="Akapitzlist"/>
        <w:jc w:val="both"/>
        <w:rPr>
          <w:b/>
        </w:rPr>
      </w:pPr>
    </w:p>
    <w:p w14:paraId="04B01E68" w14:textId="77777777" w:rsidR="00970574" w:rsidRDefault="00970574" w:rsidP="00F13710">
      <w:pPr>
        <w:pStyle w:val="Akapitzlist"/>
        <w:numPr>
          <w:ilvl w:val="0"/>
          <w:numId w:val="27"/>
        </w:numPr>
        <w:jc w:val="both"/>
      </w:pPr>
      <w:r>
        <w:t xml:space="preserve">Należy dokonać </w:t>
      </w:r>
      <w:r w:rsidR="004E3D4E">
        <w:t xml:space="preserve">analizy finansowej, dokonując </w:t>
      </w:r>
      <w:r>
        <w:t>projekcji kosztów i przychodów w projekcie</w:t>
      </w:r>
      <w:r w:rsidR="004E3D4E">
        <w:t>, w oparciu o następujące założenia</w:t>
      </w:r>
      <w:r w:rsidR="005F109A">
        <w:t xml:space="preserve"> ogólne</w:t>
      </w:r>
      <w:r w:rsidR="004E3D4E">
        <w:t xml:space="preserve">: </w:t>
      </w:r>
    </w:p>
    <w:p w14:paraId="738B24B0" w14:textId="77777777" w:rsidR="00A539F6" w:rsidRDefault="00A539F6" w:rsidP="00355970">
      <w:pPr>
        <w:jc w:val="both"/>
      </w:pPr>
    </w:p>
    <w:p w14:paraId="3C0B7AE2" w14:textId="2A032B67" w:rsidR="00B43A70" w:rsidRDefault="004E3D4E" w:rsidP="00F13710">
      <w:pPr>
        <w:pStyle w:val="Akapitzlist"/>
        <w:numPr>
          <w:ilvl w:val="0"/>
          <w:numId w:val="28"/>
        </w:numPr>
        <w:jc w:val="both"/>
      </w:pPr>
      <w:r>
        <w:t>Analiza finansowa powinna opierać się na podejściu przyrostowym (zgodnie z</w:t>
      </w:r>
      <w:r w:rsidRPr="004E3D4E">
        <w:t xml:space="preserve"> metodą różnicowego modelu finansowego</w:t>
      </w:r>
      <w:r>
        <w:t xml:space="preserve">), tj. na podstawie różnic w kosztach i </w:t>
      </w:r>
      <w:r w:rsidR="00A539F6">
        <w:t>przychodach</w:t>
      </w:r>
      <w:r>
        <w:t xml:space="preserve"> między scenariuszem uwzględniającym projekt</w:t>
      </w:r>
      <w:r w:rsidR="00B43A70">
        <w:t xml:space="preserve"> </w:t>
      </w:r>
      <w:r>
        <w:t xml:space="preserve">(wariant „zrobić coś”) a scenariuszem alternatywnym nieuwzględniającym projektu. </w:t>
      </w:r>
    </w:p>
    <w:p w14:paraId="69A62781" w14:textId="7362BC77" w:rsidR="004A45D9" w:rsidRDefault="00891C2D" w:rsidP="00F13710">
      <w:pPr>
        <w:pStyle w:val="Akapitzlist"/>
        <w:numPr>
          <w:ilvl w:val="0"/>
          <w:numId w:val="28"/>
        </w:numPr>
        <w:jc w:val="both"/>
      </w:pPr>
      <w:r>
        <w:t xml:space="preserve">Analiza finansowa powinna być sporządzona w sposób skonsolidowany, dla Beneficjenta i Operatora </w:t>
      </w:r>
      <w:r w:rsidRPr="009C2854">
        <w:t xml:space="preserve">infrastruktury, jeśli są to </w:t>
      </w:r>
      <w:r w:rsidR="004A45D9">
        <w:t>odrębne</w:t>
      </w:r>
      <w:r w:rsidR="004A45D9" w:rsidRPr="009C2854">
        <w:t xml:space="preserve"> </w:t>
      </w:r>
      <w:r w:rsidRPr="009C2854">
        <w:t>podmioty (wzajemne przepływy należy wyeliminować).</w:t>
      </w:r>
    </w:p>
    <w:p w14:paraId="3A5FF1BA" w14:textId="22A7705A" w:rsidR="00891C2D" w:rsidRPr="009C2854" w:rsidRDefault="004A45D9" w:rsidP="004A45D9">
      <w:pPr>
        <w:pStyle w:val="Akapitzlist"/>
        <w:numPr>
          <w:ilvl w:val="0"/>
          <w:numId w:val="28"/>
        </w:numPr>
        <w:jc w:val="both"/>
      </w:pPr>
      <w:r w:rsidRPr="004A45D9">
        <w:t>Analiza powinna być sporządzona w cenach realnych</w:t>
      </w:r>
      <w:r w:rsidR="001B5786">
        <w:t>, bez uwzgl</w:t>
      </w:r>
      <w:r w:rsidR="001B5786" w:rsidRPr="001B5786">
        <w:t>ędnienia inflacji</w:t>
      </w:r>
      <w:r>
        <w:t xml:space="preserve">. </w:t>
      </w:r>
    </w:p>
    <w:p w14:paraId="1F760F30" w14:textId="372CF76C" w:rsidR="00B43A70" w:rsidRPr="009C2854" w:rsidRDefault="004E3D4E" w:rsidP="00861C6A">
      <w:pPr>
        <w:pStyle w:val="Akapitzlist"/>
        <w:numPr>
          <w:ilvl w:val="0"/>
          <w:numId w:val="28"/>
        </w:numPr>
        <w:jc w:val="both"/>
      </w:pPr>
      <w:r w:rsidRPr="009C2854">
        <w:t>Analiza powinna być sporządzona w cenach</w:t>
      </w:r>
      <w:r w:rsidR="00861C6A" w:rsidRPr="009C2854">
        <w:t xml:space="preserve"> netto (bez podatku VAT) w przypadku, gdy podatek VAT może zostać odzyskany w oparciu o przepisy krajowe lub w cenach</w:t>
      </w:r>
      <w:r w:rsidRPr="009C2854">
        <w:t xml:space="preserve"> brutto (wraz z podatkiem VAT), gdy podatek VAT stanowi rzeczywisty </w:t>
      </w:r>
      <w:proofErr w:type="spellStart"/>
      <w:r w:rsidRPr="009C2854">
        <w:t>nieodzyskiwalny</w:t>
      </w:r>
      <w:proofErr w:type="spellEnd"/>
      <w:r w:rsidRPr="009C2854">
        <w:t xml:space="preserve"> wydatek podmiotu ponoszącego wydatki</w:t>
      </w:r>
      <w:r w:rsidR="000A239D" w:rsidRPr="009C2854">
        <w:t>. Podatek VAT powinien zostać wyodrębniony, jako osobna pozycja analizy finansowej.</w:t>
      </w:r>
    </w:p>
    <w:p w14:paraId="0F316B2C" w14:textId="39E53B39" w:rsidR="00B43A70" w:rsidRPr="009C2854" w:rsidRDefault="004E3D4E" w:rsidP="00F13710">
      <w:pPr>
        <w:pStyle w:val="Akapitzlist"/>
        <w:numPr>
          <w:ilvl w:val="0"/>
          <w:numId w:val="28"/>
        </w:numPr>
        <w:jc w:val="both"/>
      </w:pPr>
      <w:r w:rsidRPr="009C2854">
        <w:t xml:space="preserve">Do obliczenia wartości zdyskontowanych należy zastosować stopę oprocentowania wykorzystywaną do obliczenia wartości pomocy </w:t>
      </w:r>
      <w:r w:rsidR="006C51AB">
        <w:t>inwestycyjnej</w:t>
      </w:r>
      <w:r w:rsidRPr="009C2854">
        <w:t>.</w:t>
      </w:r>
      <w:r w:rsidRPr="009C2854">
        <w:rPr>
          <w:rStyle w:val="Odwoanieprzypisudolnego"/>
        </w:rPr>
        <w:footnoteReference w:id="6"/>
      </w:r>
    </w:p>
    <w:p w14:paraId="75E93C71" w14:textId="5E170446" w:rsidR="004E3D4E" w:rsidRPr="009C2854" w:rsidRDefault="00B43A70" w:rsidP="00F13710">
      <w:pPr>
        <w:pStyle w:val="Akapitzlist"/>
        <w:numPr>
          <w:ilvl w:val="0"/>
          <w:numId w:val="28"/>
        </w:numPr>
        <w:jc w:val="both"/>
      </w:pPr>
      <w:r w:rsidRPr="009C2854">
        <w:t xml:space="preserve">Analiza powinna być przeprowadzona w okresie odniesienia </w:t>
      </w:r>
      <w:r w:rsidR="00E91393" w:rsidRPr="009C2854">
        <w:t xml:space="preserve">równemu </w:t>
      </w:r>
      <w:r w:rsidRPr="009C2854">
        <w:t>c</w:t>
      </w:r>
      <w:r w:rsidR="004E3D4E" w:rsidRPr="009C2854">
        <w:t>ykl</w:t>
      </w:r>
      <w:r w:rsidRPr="009C2854">
        <w:t>owi</w:t>
      </w:r>
      <w:r w:rsidR="004E3D4E" w:rsidRPr="009C2854">
        <w:t xml:space="preserve"> życia inwestycji </w:t>
      </w:r>
      <w:r w:rsidR="00A539F6" w:rsidRPr="009C2854">
        <w:t>definiowanym jako o</w:t>
      </w:r>
      <w:r w:rsidR="004E3D4E" w:rsidRPr="009C2854">
        <w:t>kres ekonomicznej użyteczności danych aktyw</w:t>
      </w:r>
      <w:r w:rsidR="00A539F6" w:rsidRPr="009C2854">
        <w:t>ów (</w:t>
      </w:r>
      <w:r w:rsidR="004E3D4E" w:rsidRPr="009C2854">
        <w:t xml:space="preserve">okres amortyzacji </w:t>
      </w:r>
      <w:r w:rsidR="004E3D4E" w:rsidRPr="009C2854">
        <w:rPr>
          <w:u w:val="single"/>
        </w:rPr>
        <w:t>zasadniczych aktywów</w:t>
      </w:r>
      <w:r w:rsidR="004E3D4E" w:rsidRPr="009C2854">
        <w:t xml:space="preserve"> (dominujących w projekcie) będących przedmiotem inwestycji</w:t>
      </w:r>
      <w:r w:rsidR="00A539F6" w:rsidRPr="009C2854">
        <w:t>)</w:t>
      </w:r>
      <w:r w:rsidR="004E3D4E" w:rsidRPr="009C2854">
        <w:t xml:space="preserve">. </w:t>
      </w:r>
      <w:r w:rsidRPr="009C2854">
        <w:t xml:space="preserve">W przypadku aktywów o różnym okresie amortyzacji, należy brać pod uwagę najdłuższy z tych okresów. </w:t>
      </w:r>
      <w:r w:rsidR="004E3D4E" w:rsidRPr="009C2854">
        <w:t>Beneficjent jest zobowiązany do sprecyzowania, jakiego rodzaju aktywa będą przedmiotem projektu i uzasadnienia długości cyklu życia inwestycji przyjętej na potrzeby kalkulacji zysku operacyjnego.</w:t>
      </w:r>
      <w:r w:rsidRPr="009C2854">
        <w:t xml:space="preserve"> </w:t>
      </w:r>
    </w:p>
    <w:p w14:paraId="0FC0A381" w14:textId="77777777" w:rsidR="004E3D4E" w:rsidRDefault="004E3D4E" w:rsidP="00355970">
      <w:pPr>
        <w:jc w:val="both"/>
      </w:pPr>
    </w:p>
    <w:p w14:paraId="6C4D4747" w14:textId="77777777" w:rsidR="004E3D4E" w:rsidRPr="005345F3" w:rsidRDefault="004E3D4E" w:rsidP="00355970">
      <w:pPr>
        <w:jc w:val="both"/>
      </w:pPr>
    </w:p>
    <w:p w14:paraId="6BB47091" w14:textId="77777777" w:rsidR="00C3089A" w:rsidRPr="005345F3" w:rsidRDefault="00C3089A" w:rsidP="00F13710">
      <w:pPr>
        <w:pStyle w:val="Akapitzlist"/>
        <w:numPr>
          <w:ilvl w:val="0"/>
          <w:numId w:val="27"/>
        </w:numPr>
        <w:jc w:val="both"/>
      </w:pPr>
      <w:r w:rsidRPr="005345F3">
        <w:t>Należy zastosować wzór z GBER dotyczący pomocy inwestycyjnej (Art 53 (6))</w:t>
      </w:r>
      <w:r w:rsidR="001E0005">
        <w:t xml:space="preserve"> dla cyklu życia inwestycji</w:t>
      </w:r>
      <w:r w:rsidR="008061B1" w:rsidRPr="005345F3">
        <w:t xml:space="preserve">. </w:t>
      </w:r>
    </w:p>
    <w:p w14:paraId="044F5B99" w14:textId="77777777" w:rsidR="00C3089A" w:rsidRDefault="00C3089A" w:rsidP="00355970">
      <w:pPr>
        <w:jc w:val="both"/>
      </w:pPr>
    </w:p>
    <w:p w14:paraId="7379A5DD" w14:textId="130AD97D" w:rsidR="00D54313" w:rsidRPr="00316187" w:rsidRDefault="00E57AEC" w:rsidP="00355970">
      <w:pPr>
        <w:jc w:val="both"/>
        <w:rPr>
          <w:b/>
        </w:rPr>
      </w:pPr>
      <w:proofErr w:type="spellStart"/>
      <w:r w:rsidRPr="00316187">
        <w:rPr>
          <w:b/>
        </w:rPr>
        <w:t>MaxP</w:t>
      </w:r>
      <w:r>
        <w:rPr>
          <w:b/>
        </w:rPr>
        <w:t>I</w:t>
      </w:r>
      <w:proofErr w:type="spellEnd"/>
      <w:r w:rsidRPr="00316187">
        <w:rPr>
          <w:b/>
        </w:rPr>
        <w:t xml:space="preserve"> </w:t>
      </w:r>
      <w:r w:rsidR="00D54313" w:rsidRPr="00316187">
        <w:rPr>
          <w:b/>
        </w:rPr>
        <w:t>= KK(GBER) – ZO</w:t>
      </w:r>
    </w:p>
    <w:p w14:paraId="1CDD12B6" w14:textId="77777777" w:rsidR="00D54313" w:rsidRDefault="00D54313" w:rsidP="00355970">
      <w:pPr>
        <w:jc w:val="both"/>
      </w:pPr>
    </w:p>
    <w:p w14:paraId="68239A85" w14:textId="77777777" w:rsidR="00D54313" w:rsidRDefault="00316187" w:rsidP="00355970">
      <w:pPr>
        <w:jc w:val="both"/>
      </w:pPr>
      <w:r>
        <w:t>Gdzie:</w:t>
      </w:r>
    </w:p>
    <w:p w14:paraId="38EBC851" w14:textId="77777777" w:rsidR="00D54313" w:rsidRDefault="00D54313" w:rsidP="00355970">
      <w:pPr>
        <w:jc w:val="both"/>
      </w:pPr>
    </w:p>
    <w:p w14:paraId="4870A9C3" w14:textId="2A9BA577" w:rsidR="00D54313" w:rsidRPr="00316187" w:rsidRDefault="00E57AEC" w:rsidP="00355970">
      <w:pPr>
        <w:jc w:val="both"/>
      </w:pPr>
      <w:proofErr w:type="spellStart"/>
      <w:r w:rsidRPr="00316187">
        <w:t>MaxP</w:t>
      </w:r>
      <w:r>
        <w:t>I</w:t>
      </w:r>
      <w:proofErr w:type="spellEnd"/>
      <w:r w:rsidRPr="00316187">
        <w:t xml:space="preserve"> </w:t>
      </w:r>
      <w:r w:rsidR="00D54313" w:rsidRPr="00316187">
        <w:t xml:space="preserve">- </w:t>
      </w:r>
      <w:r w:rsidR="00970574" w:rsidRPr="00316187">
        <w:t>Maksymaln</w:t>
      </w:r>
      <w:r w:rsidR="00970574">
        <w:t>a</w:t>
      </w:r>
      <w:r w:rsidR="00970574" w:rsidRPr="00316187">
        <w:t xml:space="preserve"> </w:t>
      </w:r>
      <w:r w:rsidR="00970574">
        <w:t>wielkość pomocy</w:t>
      </w:r>
      <w:r w:rsidR="00ED7A27">
        <w:t xml:space="preserve"> </w:t>
      </w:r>
      <w:r>
        <w:t>inwestycyjnej</w:t>
      </w:r>
      <w:r w:rsidRPr="00316187">
        <w:t xml:space="preserve"> </w:t>
      </w:r>
      <w:r w:rsidR="006768A4" w:rsidRPr="00316187">
        <w:t>(</w:t>
      </w:r>
      <w:r w:rsidR="00970574" w:rsidRPr="00316187">
        <w:t>zdyskontowan</w:t>
      </w:r>
      <w:r w:rsidR="00970574">
        <w:t>a</w:t>
      </w:r>
      <w:r w:rsidR="00CB1D5C" w:rsidRPr="00316187">
        <w:rPr>
          <w:rStyle w:val="Odwoanieprzypisudolnego"/>
        </w:rPr>
        <w:footnoteReference w:id="7"/>
      </w:r>
      <w:r w:rsidR="006768A4" w:rsidRPr="00316187">
        <w:t>)</w:t>
      </w:r>
      <w:r w:rsidR="00C3089A" w:rsidRPr="00316187">
        <w:t xml:space="preserve"> </w:t>
      </w:r>
    </w:p>
    <w:p w14:paraId="252D6B9E" w14:textId="010BAC0C" w:rsidR="00ED7A27" w:rsidRPr="00316187" w:rsidRDefault="00D54313" w:rsidP="00355970">
      <w:pPr>
        <w:jc w:val="both"/>
      </w:pPr>
      <w:r w:rsidRPr="00316187">
        <w:t>KK (GBER) - Z</w:t>
      </w:r>
      <w:r w:rsidR="005535A5" w:rsidRPr="00316187">
        <w:t xml:space="preserve">dyskontowane </w:t>
      </w:r>
      <w:r w:rsidR="00C3089A" w:rsidRPr="00316187">
        <w:t xml:space="preserve">koszty </w:t>
      </w:r>
      <w:r w:rsidR="006768A4" w:rsidRPr="00316187">
        <w:t xml:space="preserve">kwalifikowalne wg GBER </w:t>
      </w:r>
      <w:r w:rsidR="00ED7A27">
        <w:t>(patrz: definicja poniżej)</w:t>
      </w:r>
      <w:r w:rsidR="00374B5D">
        <w:t xml:space="preserve"> – wraz z VAT</w:t>
      </w:r>
      <w:r w:rsidR="004A45D9" w:rsidRPr="004A45D9">
        <w:t xml:space="preserve"> gdy podatek stanowi rzeczywisty </w:t>
      </w:r>
      <w:proofErr w:type="spellStart"/>
      <w:r w:rsidR="004A45D9" w:rsidRPr="004A45D9">
        <w:t>nieodzyskiwalny</w:t>
      </w:r>
      <w:proofErr w:type="spellEnd"/>
      <w:r w:rsidR="004A45D9" w:rsidRPr="004A45D9">
        <w:t xml:space="preserve"> wydatek </w:t>
      </w:r>
      <w:r w:rsidR="004A45D9">
        <w:t>beneficjenta</w:t>
      </w:r>
    </w:p>
    <w:p w14:paraId="5A8654B4" w14:textId="77777777" w:rsidR="009E0FD8" w:rsidRPr="00316187" w:rsidRDefault="00D54313" w:rsidP="00355970">
      <w:pPr>
        <w:jc w:val="both"/>
      </w:pPr>
      <w:r w:rsidRPr="00316187">
        <w:t>ZO - Z</w:t>
      </w:r>
      <w:r w:rsidR="006768A4" w:rsidRPr="00316187">
        <w:t xml:space="preserve">dyskontowany </w:t>
      </w:r>
      <w:r w:rsidR="00AA3C00">
        <w:t xml:space="preserve">prognozowany </w:t>
      </w:r>
      <w:r w:rsidR="00C3089A" w:rsidRPr="00316187">
        <w:t>zysk operacyjny</w:t>
      </w:r>
      <w:r w:rsidR="00325DB9" w:rsidRPr="00316187">
        <w:t xml:space="preserve"> </w:t>
      </w:r>
      <w:r w:rsidR="00ED7A27">
        <w:t>(patrz: poniżej)</w:t>
      </w:r>
    </w:p>
    <w:p w14:paraId="6E6C6217" w14:textId="77777777" w:rsidR="009556BF" w:rsidRDefault="009556BF" w:rsidP="00355970">
      <w:pPr>
        <w:jc w:val="both"/>
      </w:pPr>
    </w:p>
    <w:p w14:paraId="4EFC115A" w14:textId="77B8A884" w:rsidR="009556BF" w:rsidRDefault="00D4674D" w:rsidP="00355970">
      <w:pPr>
        <w:jc w:val="both"/>
      </w:pPr>
      <w:r w:rsidRPr="00C51754">
        <w:t>Zgodnie z art. 53 (6) o</w:t>
      </w:r>
      <w:r>
        <w:t xml:space="preserve">perator </w:t>
      </w:r>
      <w:r w:rsidR="009556BF">
        <w:t>infrastruktury ma prawo zatrzymać rozs</w:t>
      </w:r>
      <w:r w:rsidR="00875716">
        <w:t xml:space="preserve">ądny zysk przez odnośny okres. </w:t>
      </w:r>
      <w:r w:rsidR="009556BF">
        <w:t>Wytyczne w tym zakresie przedstawione są w Załączniku I</w:t>
      </w:r>
      <w:r w:rsidR="00473634">
        <w:t xml:space="preserve">. </w:t>
      </w:r>
    </w:p>
    <w:p w14:paraId="3732936C" w14:textId="77777777" w:rsidR="00CE5757" w:rsidRDefault="00CE5757" w:rsidP="00355970">
      <w:pPr>
        <w:jc w:val="both"/>
      </w:pPr>
    </w:p>
    <w:p w14:paraId="2A4E5507" w14:textId="6E9900BD" w:rsidR="009556BF" w:rsidRPr="00C51754" w:rsidRDefault="001E0005" w:rsidP="00316187">
      <w:pPr>
        <w:pStyle w:val="Akapitzlist"/>
        <w:numPr>
          <w:ilvl w:val="0"/>
          <w:numId w:val="20"/>
        </w:numPr>
        <w:jc w:val="both"/>
        <w:rPr>
          <w:b/>
        </w:rPr>
      </w:pPr>
      <w:r>
        <w:t xml:space="preserve">Obliczenie kosztów kwalifikowalnych zgodnie z </w:t>
      </w:r>
      <w:r w:rsidRPr="001E0005">
        <w:t>rozporządzeni</w:t>
      </w:r>
      <w:r>
        <w:t>em</w:t>
      </w:r>
      <w:r w:rsidRPr="001E0005">
        <w:t xml:space="preserve"> w sprawie wyłączeń blokowych (GBER)</w:t>
      </w:r>
      <w:r>
        <w:t xml:space="preserve">, art. </w:t>
      </w:r>
      <w:r w:rsidR="009556BF">
        <w:t>53(4)</w:t>
      </w:r>
      <w:r w:rsidR="00ED7326">
        <w:t xml:space="preserve"> </w:t>
      </w:r>
    </w:p>
    <w:p w14:paraId="1A20A943" w14:textId="77777777" w:rsidR="00A418D2" w:rsidRDefault="00A418D2" w:rsidP="00316187">
      <w:pPr>
        <w:jc w:val="both"/>
      </w:pPr>
    </w:p>
    <w:p w14:paraId="720A4042" w14:textId="77777777" w:rsidR="001E0005" w:rsidRDefault="001E0005" w:rsidP="00316187">
      <w:pPr>
        <w:jc w:val="both"/>
      </w:pPr>
      <w:r w:rsidRPr="003161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0BE74" wp14:editId="3367127A">
                <wp:simplePos x="0" y="0"/>
                <wp:positionH relativeFrom="column">
                  <wp:posOffset>490855</wp:posOffset>
                </wp:positionH>
                <wp:positionV relativeFrom="paragraph">
                  <wp:posOffset>1905</wp:posOffset>
                </wp:positionV>
                <wp:extent cx="5708650" cy="1792605"/>
                <wp:effectExtent l="0" t="0" r="25400" b="171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792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8FDD9" w14:textId="77777777" w:rsidR="00CB1D5C" w:rsidRPr="00316187" w:rsidRDefault="00CB1D5C" w:rsidP="00CB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Zgodnie z </w:t>
                            </w:r>
                            <w:r w:rsidRPr="00CB1D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 53 (</w:t>
                            </w:r>
                            <w:r w:rsidR="001E000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CB1D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9556B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 przypadku pomocy inwestycyjnej za koszty kwalifikowalne uznaje się koszty inwestycji w rzeczowe aktywa trwałe i wartości niematerialne i prawne, w tym:</w:t>
                            </w:r>
                          </w:p>
                          <w:p w14:paraId="302F32B1" w14:textId="4744E6E5" w:rsidR="00CB1D5C" w:rsidRPr="00316187" w:rsidRDefault="00CB1D5C" w:rsidP="00CB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a) koszty budowy, modernizacji, nabycia, konserwacji lub poprawy infrastruktury, jeżeli w skali roku przynajmniej 80 % czasu lub przestrzeni tej infrastruktury jest wykorzystywane do celów związanych z kulturą;</w:t>
                            </w:r>
                            <w:r w:rsidR="00ED73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B8875F" w14:textId="77777777" w:rsidR="00CB1D5C" w:rsidRPr="00316187" w:rsidRDefault="00CB1D5C" w:rsidP="00CB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b) koszty nabycia, w tym leasingu, przekazania własności lub fizycznej relokacji dziedzictwa kulturowego;</w:t>
                            </w:r>
                          </w:p>
                          <w:p w14:paraId="4B2DFD89" w14:textId="77777777" w:rsidR="00CB1D5C" w:rsidRPr="00316187" w:rsidRDefault="00CB1D5C" w:rsidP="00CB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c) 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                      </w:r>
                          </w:p>
                          <w:p w14:paraId="3E64492F" w14:textId="77777777" w:rsidR="00CB1D5C" w:rsidRPr="00316187" w:rsidRDefault="00CB1D5C" w:rsidP="00CB1D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d) 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                      </w:r>
                          </w:p>
                          <w:p w14:paraId="285876CD" w14:textId="77777777" w:rsidR="00CB1D5C" w:rsidRPr="00316187" w:rsidRDefault="00CB1D5C" w:rsidP="003161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61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e) koszty projektów i działań kulturalnych, programów współpracy i wymiany oraz dotacje, w tym koszty procedur wyboru, promocji oraz koszty ponoszone bezpośrednio w wyniku projektu;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0BE74" id="Rectangle 1" o:spid="_x0000_s1026" style="position:absolute;left:0;text-align:left;margin-left:38.65pt;margin-top:.15pt;width:449.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" filled="f" strokecolor="#243f60 [1604]" strokeweight="2pt">
                <v:textbox>
                  <w:txbxContent>
                    <w:p w14:paraId="09F8FDD9" w14:textId="77777777" w:rsidR="00CB1D5C" w:rsidRPr="00316187" w:rsidRDefault="00CB1D5C" w:rsidP="00CB1D5C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Zgodnie z </w:t>
                      </w:r>
                      <w:r w:rsidRPr="00CB1D5C">
                        <w:rPr>
                          <w:color w:val="000000" w:themeColor="text1"/>
                          <w:sz w:val="16"/>
                          <w:szCs w:val="16"/>
                        </w:rPr>
                        <w:t>Art 53 (</w:t>
                      </w:r>
                      <w:r w:rsidR="001E0005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CB1D5C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9556B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W przypadku pomocy inwestycyjnej za koszty kwalifikowalne uznaje się koszty inwestycji w rzeczowe aktywa trwałe i wartości niematerialne i prawne, w tym:</w:t>
                      </w:r>
                    </w:p>
                    <w:p w14:paraId="302F32B1" w14:textId="4744E6E5" w:rsidR="00CB1D5C" w:rsidRPr="00316187" w:rsidRDefault="00CB1D5C" w:rsidP="00CB1D5C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a) koszty budowy, modernizacji, nabycia, konserwacji lub poprawy infrastruktury, jeżeli w skali roku przynajmniej 80 % czasu lub przestrzeni tej infrastruktury jest wykorzystywane do celów związanych z kulturą;</w:t>
                      </w:r>
                      <w:r w:rsidR="00ED73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B8875F" w14:textId="77777777" w:rsidR="00CB1D5C" w:rsidRPr="00316187" w:rsidRDefault="00CB1D5C" w:rsidP="00CB1D5C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b) koszty nabycia, w tym leasingu, przekazania własności lub fizycznej relokacji dziedzictwa kulturowego;</w:t>
                      </w:r>
                    </w:p>
                    <w:p w14:paraId="4B2DFD89" w14:textId="77777777" w:rsidR="00CB1D5C" w:rsidRPr="00316187" w:rsidRDefault="00CB1D5C" w:rsidP="00CB1D5C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c) 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                </w:r>
                    </w:p>
                    <w:p w14:paraId="3E64492F" w14:textId="77777777" w:rsidR="00CB1D5C" w:rsidRPr="00316187" w:rsidRDefault="00CB1D5C" w:rsidP="00CB1D5C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d) 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                </w:r>
                    </w:p>
                    <w:p w14:paraId="285876CD" w14:textId="77777777" w:rsidR="00CB1D5C" w:rsidRPr="00316187" w:rsidRDefault="00CB1D5C" w:rsidP="0031618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16187">
                        <w:rPr>
                          <w:color w:val="000000" w:themeColor="text1"/>
                          <w:sz w:val="16"/>
                          <w:szCs w:val="16"/>
                        </w:rPr>
                        <w:t>e) koszty projektów i działań kulturalnych, programów współpracy i wymiany oraz dotacje, w tym koszty procedur wyboru, promocji oraz koszty ponoszone bezpośrednio w wyniku projektu;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E502AC7" w14:textId="77777777" w:rsidR="00A418D2" w:rsidRDefault="00A418D2" w:rsidP="00316187">
      <w:pPr>
        <w:jc w:val="both"/>
      </w:pPr>
    </w:p>
    <w:p w14:paraId="3485BF14" w14:textId="77777777" w:rsidR="001E0005" w:rsidRDefault="00AA3C00" w:rsidP="00316187">
      <w:pPr>
        <w:pStyle w:val="Akapitzlist"/>
        <w:numPr>
          <w:ilvl w:val="0"/>
          <w:numId w:val="20"/>
        </w:numPr>
        <w:jc w:val="both"/>
      </w:pPr>
      <w:r>
        <w:t xml:space="preserve">Prognozowanie </w:t>
      </w:r>
      <w:r w:rsidR="001E0005">
        <w:t xml:space="preserve">poziomu zysku operacyjnego </w:t>
      </w:r>
    </w:p>
    <w:p w14:paraId="0A00313E" w14:textId="77777777" w:rsidR="00A418D2" w:rsidRDefault="00A418D2" w:rsidP="00316187">
      <w:pPr>
        <w:jc w:val="both"/>
      </w:pPr>
    </w:p>
    <w:p w14:paraId="446DDC3C" w14:textId="77777777" w:rsidR="00CE41C3" w:rsidRPr="005345F3" w:rsidRDefault="00CE41C3" w:rsidP="00316187">
      <w:pPr>
        <w:pStyle w:val="Akapitzlist"/>
        <w:jc w:val="both"/>
      </w:pPr>
      <w:r w:rsidRPr="005345F3">
        <w:t xml:space="preserve">Należy obliczyć poziom zysku </w:t>
      </w:r>
      <w:r w:rsidR="001E0005">
        <w:t xml:space="preserve">operacyjnego </w:t>
      </w:r>
      <w:r w:rsidR="00ED7A27">
        <w:t xml:space="preserve">w ujęciu </w:t>
      </w:r>
      <w:r w:rsidR="00CE5757">
        <w:t xml:space="preserve">przyrostowym </w:t>
      </w:r>
      <w:r w:rsidRPr="005345F3">
        <w:t xml:space="preserve">w oparciu o wzór: </w:t>
      </w:r>
    </w:p>
    <w:p w14:paraId="45A6B2ED" w14:textId="77777777" w:rsidR="00CE41C3" w:rsidRPr="005345F3" w:rsidRDefault="00CE41C3" w:rsidP="00316187">
      <w:pPr>
        <w:pStyle w:val="Akapitzlist"/>
        <w:jc w:val="both"/>
      </w:pPr>
    </w:p>
    <w:p w14:paraId="272B12BA" w14:textId="41349329" w:rsidR="00CE41C3" w:rsidRPr="00E944FD" w:rsidRDefault="001E0005" w:rsidP="00316187">
      <w:pPr>
        <w:pStyle w:val="Akapitzlist"/>
        <w:jc w:val="both"/>
        <w:rPr>
          <w:b/>
          <w:color w:val="FF0000"/>
        </w:rPr>
      </w:pPr>
      <w:r>
        <w:t>Z</w:t>
      </w:r>
      <w:r w:rsidR="00CE41C3" w:rsidRPr="005345F3">
        <w:t>ysk operacyjny = przychody operacyjne –</w:t>
      </w:r>
      <w:r w:rsidR="009C2854">
        <w:t xml:space="preserve"> </w:t>
      </w:r>
      <w:r w:rsidR="00CE41C3" w:rsidRPr="005345F3">
        <w:t xml:space="preserve">koszty operacyjne </w:t>
      </w:r>
    </w:p>
    <w:p w14:paraId="3A7A413D" w14:textId="77777777" w:rsidR="00604AEA" w:rsidRPr="005345F3" w:rsidRDefault="00604AEA" w:rsidP="00316187">
      <w:pPr>
        <w:pStyle w:val="Akapitzlist"/>
        <w:jc w:val="both"/>
      </w:pPr>
    </w:p>
    <w:p w14:paraId="7F258890" w14:textId="35122E32" w:rsidR="004F630C" w:rsidRDefault="004F630C" w:rsidP="00316187">
      <w:pPr>
        <w:pStyle w:val="Akapitzlist"/>
        <w:jc w:val="both"/>
      </w:pPr>
      <w:r w:rsidRPr="00316187">
        <w:t xml:space="preserve">Przychody operacyjne </w:t>
      </w:r>
      <w:r w:rsidR="00ED7A27">
        <w:t xml:space="preserve">to </w:t>
      </w:r>
      <w:r>
        <w:t>przychody od użytkowników infrastruktury (nie obejmują dotacji operacyjnych)</w:t>
      </w:r>
    </w:p>
    <w:p w14:paraId="5DF5007C" w14:textId="77777777" w:rsidR="004F630C" w:rsidRDefault="004F630C" w:rsidP="00316187">
      <w:pPr>
        <w:pStyle w:val="Akapitzlist"/>
        <w:jc w:val="both"/>
      </w:pPr>
    </w:p>
    <w:p w14:paraId="1B207EC6" w14:textId="77777777" w:rsidR="004F630C" w:rsidRPr="00316187" w:rsidRDefault="004F630C" w:rsidP="00316187">
      <w:pPr>
        <w:pStyle w:val="Akapitzlist"/>
        <w:jc w:val="both"/>
      </w:pPr>
      <w:r>
        <w:t xml:space="preserve">Koszty operacyjne </w:t>
      </w:r>
      <w:r w:rsidR="003251AE">
        <w:t xml:space="preserve">(zgodnie z Art. 2(39) GBER) </w:t>
      </w:r>
      <w:r>
        <w:t>obejmują koszty, takie jak koszty personelu, materiałów, zakontraktowanych usług, komunikacji, energii, konserwacji, czynszu, administracji, lecz nie uwzględniają, do celów niniejszego rozporządzenia, kosztów amortyzacji i kosztów finansowania, jeśli zostały one objęte zakresem pomocy inwestycyjnej.</w:t>
      </w:r>
    </w:p>
    <w:p w14:paraId="45FC4BD1" w14:textId="77777777" w:rsidR="00F366EF" w:rsidRDefault="00F366EF" w:rsidP="00F366EF">
      <w:pPr>
        <w:ind w:left="708"/>
        <w:jc w:val="both"/>
        <w:rPr>
          <w:color w:val="000000" w:themeColor="text1"/>
        </w:rPr>
      </w:pPr>
    </w:p>
    <w:p w14:paraId="28A65686" w14:textId="1B40B18A" w:rsidR="005424CE" w:rsidRDefault="00F366EF" w:rsidP="00F366EF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Nie uwzględnia się wartości rezydualnej, ponieważ zakłada się, że okres odniesienia będzie równoznaczny z okresem ekonomicznej użyteczności aktywów</w:t>
      </w:r>
      <w:r w:rsidR="001B5786">
        <w:rPr>
          <w:color w:val="000000" w:themeColor="text1"/>
        </w:rPr>
        <w:t xml:space="preserve"> </w:t>
      </w:r>
      <w:r w:rsidR="001B5786" w:rsidRPr="001B5786">
        <w:rPr>
          <w:color w:val="000000" w:themeColor="text1"/>
        </w:rPr>
        <w:t>oraz, że projekt nie będzie generował przychodów netto po okresie odniesienia</w:t>
      </w:r>
      <w:r w:rsidR="001B5786">
        <w:rPr>
          <w:color w:val="000000" w:themeColor="text1"/>
        </w:rPr>
        <w:t>.</w:t>
      </w:r>
    </w:p>
    <w:p w14:paraId="46ABE7A4" w14:textId="77777777" w:rsidR="00F366EF" w:rsidRDefault="00F366EF" w:rsidP="00316187">
      <w:pPr>
        <w:jc w:val="both"/>
        <w:rPr>
          <w:color w:val="000000" w:themeColor="text1"/>
        </w:rPr>
      </w:pPr>
    </w:p>
    <w:p w14:paraId="657E853F" w14:textId="77777777" w:rsidR="003251AE" w:rsidRDefault="003251AE" w:rsidP="00723ECF">
      <w:pPr>
        <w:ind w:firstLine="708"/>
        <w:jc w:val="both"/>
      </w:pPr>
      <w:r w:rsidRPr="00DA7981">
        <w:rPr>
          <w:color w:val="000000" w:themeColor="text1"/>
        </w:rPr>
        <w:t xml:space="preserve">W wyniku uzyskanych </w:t>
      </w:r>
      <w:r>
        <w:t xml:space="preserve">obliczeń i podstawienia wartości do wzoru możliwe są dwie sytuacje: </w:t>
      </w:r>
    </w:p>
    <w:p w14:paraId="41CAB966" w14:textId="77777777" w:rsidR="003251AE" w:rsidRDefault="003251AE" w:rsidP="00316187">
      <w:pPr>
        <w:jc w:val="both"/>
      </w:pPr>
    </w:p>
    <w:p w14:paraId="19374D08" w14:textId="2B59B51E" w:rsidR="003251AE" w:rsidRDefault="003251AE" w:rsidP="00723ECF">
      <w:pPr>
        <w:ind w:left="708"/>
        <w:jc w:val="both"/>
      </w:pPr>
      <w:r>
        <w:t xml:space="preserve">Przypadek I, w którym zysk operacyjny jest mniejszy lub równy 0. W takiej sytuacji </w:t>
      </w:r>
      <w:r w:rsidR="00916C18">
        <w:t xml:space="preserve">maksymalna wielkość pomocy </w:t>
      </w:r>
      <w:r w:rsidR="006C51AB">
        <w:t xml:space="preserve">inwestycyjnej </w:t>
      </w:r>
      <w:r>
        <w:t>równ</w:t>
      </w:r>
      <w:r w:rsidR="00916C18">
        <w:t>a</w:t>
      </w:r>
      <w:r>
        <w:t xml:space="preserve"> jest kosztom kwalifikowalnym według GBER</w:t>
      </w:r>
      <w:r w:rsidR="007B2BF5">
        <w:t xml:space="preserve"> (wartości zdyskontowane)</w:t>
      </w:r>
      <w:r>
        <w:t xml:space="preserve">. </w:t>
      </w:r>
    </w:p>
    <w:p w14:paraId="66B14184" w14:textId="77777777" w:rsidR="00F366EF" w:rsidRDefault="00F366EF" w:rsidP="00723ECF">
      <w:pPr>
        <w:ind w:left="708"/>
        <w:jc w:val="both"/>
      </w:pPr>
    </w:p>
    <w:p w14:paraId="60A77D23" w14:textId="77777777" w:rsidR="007D6C8A" w:rsidRDefault="007D6C8A" w:rsidP="00723ECF">
      <w:pPr>
        <w:ind w:left="708"/>
        <w:jc w:val="both"/>
      </w:pPr>
      <w:r>
        <w:t xml:space="preserve">Przypadek II, w którym zysk operacyjny jest większy od 0. W takiej sytuacji, maksymalna wielkość pomocy inwestycyjnej równa jest kosztom kwalifikowalnym według GBER pomniejszonym o poziom zysku operacyjnego (wartości zdyskontowane). </w:t>
      </w:r>
    </w:p>
    <w:p w14:paraId="18A7D68B" w14:textId="77777777" w:rsidR="007D6C8A" w:rsidRDefault="007D6C8A" w:rsidP="00723ECF">
      <w:pPr>
        <w:ind w:left="708"/>
        <w:jc w:val="both"/>
      </w:pPr>
    </w:p>
    <w:p w14:paraId="31FBFEFE" w14:textId="419F15FE" w:rsidR="007D6C8A" w:rsidRDefault="007D6C8A" w:rsidP="00723ECF">
      <w:pPr>
        <w:pStyle w:val="Akapitzlist"/>
        <w:numPr>
          <w:ilvl w:val="0"/>
          <w:numId w:val="20"/>
        </w:numPr>
        <w:jc w:val="both"/>
      </w:pPr>
      <w:r>
        <w:t xml:space="preserve">Należy przedstawić maksymalną wielkość pomocy inwestycyjnej jako wartość niezdyskontowaną. </w:t>
      </w:r>
    </w:p>
    <w:p w14:paraId="2B7219A3" w14:textId="77777777" w:rsidR="007D6C8A" w:rsidRDefault="007D6C8A" w:rsidP="007D6C8A">
      <w:pPr>
        <w:pStyle w:val="Akapitzlist"/>
        <w:jc w:val="both"/>
      </w:pPr>
    </w:p>
    <w:p w14:paraId="534E4101" w14:textId="77777777" w:rsidR="007D6C8A" w:rsidRDefault="007D6C8A" w:rsidP="007D6C8A">
      <w:pPr>
        <w:pStyle w:val="Akapitzlist"/>
        <w:jc w:val="both"/>
      </w:pPr>
      <w:r>
        <w:lastRenderedPageBreak/>
        <w:t xml:space="preserve">Należy zastosować wzór: </w:t>
      </w:r>
    </w:p>
    <w:p w14:paraId="7C20A571" w14:textId="77777777" w:rsidR="007D6C8A" w:rsidRDefault="007D6C8A" w:rsidP="007D6C8A">
      <w:pPr>
        <w:pStyle w:val="Akapitzlist"/>
        <w:jc w:val="both"/>
      </w:pPr>
    </w:p>
    <w:p w14:paraId="0B77D757" w14:textId="77777777" w:rsidR="007D6C8A" w:rsidRPr="00F366EF" w:rsidRDefault="007D6C8A" w:rsidP="007D6C8A">
      <w:pPr>
        <w:pStyle w:val="Akapitzlist"/>
        <w:jc w:val="both"/>
        <w:rPr>
          <w:b/>
        </w:rPr>
      </w:pPr>
      <w:proofErr w:type="spellStart"/>
      <w:r w:rsidRPr="00F366EF">
        <w:rPr>
          <w:b/>
        </w:rPr>
        <w:t>MaxPIn</w:t>
      </w:r>
      <w:proofErr w:type="spellEnd"/>
      <w:r w:rsidRPr="00F366EF">
        <w:rPr>
          <w:b/>
        </w:rPr>
        <w:t xml:space="preserve"> =KK(GBER)n *  </w:t>
      </w:r>
      <w:proofErr w:type="spellStart"/>
      <w:r w:rsidRPr="00F366EF">
        <w:rPr>
          <w:b/>
        </w:rPr>
        <w:t>MaxPI</w:t>
      </w:r>
      <w:proofErr w:type="spellEnd"/>
      <w:r w:rsidRPr="00F366EF">
        <w:rPr>
          <w:b/>
        </w:rPr>
        <w:t>/KK(GBER)</w:t>
      </w:r>
    </w:p>
    <w:p w14:paraId="0F8CDEAE" w14:textId="77777777" w:rsidR="007D6C8A" w:rsidRPr="00F366EF" w:rsidRDefault="007D6C8A" w:rsidP="007D6C8A">
      <w:pPr>
        <w:pStyle w:val="Akapitzlist"/>
        <w:jc w:val="both"/>
        <w:rPr>
          <w:b/>
        </w:rPr>
      </w:pPr>
    </w:p>
    <w:p w14:paraId="2A4763EC" w14:textId="77777777" w:rsidR="007D6C8A" w:rsidRPr="00AA20F7" w:rsidRDefault="007D6C8A" w:rsidP="007D6C8A">
      <w:pPr>
        <w:pStyle w:val="Akapitzlist"/>
        <w:jc w:val="both"/>
        <w:rPr>
          <w:b/>
        </w:rPr>
      </w:pPr>
      <w:r w:rsidRPr="00AA20F7">
        <w:rPr>
          <w:b/>
        </w:rPr>
        <w:t xml:space="preserve">Gdzie </w:t>
      </w:r>
    </w:p>
    <w:p w14:paraId="0FD11CBE" w14:textId="77777777" w:rsidR="007D6C8A" w:rsidRPr="00AA20F7" w:rsidRDefault="007D6C8A" w:rsidP="007D6C8A">
      <w:pPr>
        <w:pStyle w:val="Akapitzlist"/>
        <w:jc w:val="both"/>
        <w:rPr>
          <w:b/>
        </w:rPr>
      </w:pPr>
      <w:proofErr w:type="spellStart"/>
      <w:r w:rsidRPr="00AA20F7">
        <w:rPr>
          <w:b/>
        </w:rPr>
        <w:t>MaxP</w:t>
      </w:r>
      <w:r>
        <w:rPr>
          <w:b/>
        </w:rPr>
        <w:t>I</w:t>
      </w:r>
      <w:r w:rsidRPr="00AA20F7">
        <w:rPr>
          <w:b/>
        </w:rPr>
        <w:t>n</w:t>
      </w:r>
      <w:proofErr w:type="spellEnd"/>
      <w:r w:rsidRPr="00AA20F7">
        <w:rPr>
          <w:b/>
        </w:rPr>
        <w:t xml:space="preserve"> – maksymalna wartość pomocy </w:t>
      </w:r>
      <w:r>
        <w:rPr>
          <w:b/>
        </w:rPr>
        <w:t>inwestycyjnej</w:t>
      </w:r>
      <w:r w:rsidRPr="00AA20F7">
        <w:rPr>
          <w:b/>
        </w:rPr>
        <w:t xml:space="preserve"> </w:t>
      </w:r>
      <w:r>
        <w:rPr>
          <w:b/>
        </w:rPr>
        <w:t>nominalna (</w:t>
      </w:r>
      <w:r w:rsidRPr="00AA20F7">
        <w:rPr>
          <w:b/>
        </w:rPr>
        <w:t>niezdyskontowana</w:t>
      </w:r>
      <w:r>
        <w:rPr>
          <w:b/>
        </w:rPr>
        <w:t>)</w:t>
      </w:r>
    </w:p>
    <w:p w14:paraId="49AB3350" w14:textId="004B6012" w:rsidR="007D6C8A" w:rsidRPr="00F366EF" w:rsidRDefault="007D6C8A" w:rsidP="00F366EF">
      <w:pPr>
        <w:pStyle w:val="Akapitzlist"/>
        <w:jc w:val="both"/>
        <w:rPr>
          <w:b/>
        </w:rPr>
      </w:pPr>
      <w:r w:rsidRPr="00AA20F7">
        <w:rPr>
          <w:b/>
        </w:rPr>
        <w:t xml:space="preserve">KK(GBER)n – koszty </w:t>
      </w:r>
      <w:proofErr w:type="spellStart"/>
      <w:r w:rsidRPr="00AA20F7">
        <w:rPr>
          <w:b/>
        </w:rPr>
        <w:t>kwalifkowalne</w:t>
      </w:r>
      <w:proofErr w:type="spellEnd"/>
      <w:r w:rsidRPr="00AA20F7">
        <w:rPr>
          <w:b/>
        </w:rPr>
        <w:t xml:space="preserve"> według GBER </w:t>
      </w:r>
      <w:r>
        <w:rPr>
          <w:b/>
        </w:rPr>
        <w:t xml:space="preserve"> - wartość nominalna (</w:t>
      </w:r>
      <w:r w:rsidRPr="00AA20F7">
        <w:rPr>
          <w:b/>
        </w:rPr>
        <w:t>niezdyskontowan</w:t>
      </w:r>
      <w:r>
        <w:rPr>
          <w:b/>
        </w:rPr>
        <w:t>a)</w:t>
      </w:r>
      <w:r w:rsidRPr="00F366EF">
        <w:rPr>
          <w:b/>
        </w:rPr>
        <w:t xml:space="preserve">. </w:t>
      </w:r>
    </w:p>
    <w:p w14:paraId="47DC6C36" w14:textId="77777777" w:rsidR="007D6C8A" w:rsidRDefault="007D6C8A" w:rsidP="007D6C8A">
      <w:pPr>
        <w:pStyle w:val="Akapitzlist"/>
        <w:jc w:val="both"/>
      </w:pPr>
    </w:p>
    <w:p w14:paraId="6AE53245" w14:textId="14E412AA" w:rsidR="00B03DAB" w:rsidRPr="00B03DAB" w:rsidRDefault="00B03DAB" w:rsidP="00B03DAB">
      <w:pPr>
        <w:ind w:left="708"/>
        <w:jc w:val="both"/>
      </w:pPr>
      <w:r w:rsidRPr="00B03DAB">
        <w:t>W Przypadku I, w którym zysk operacyjny jest mniejszy lub równy 0, maksymalna nominalna wielkość pomocy inwestycyjnej równa jest sumie niezdyskontowanych kosztów kwalifikowalnych wg GBER.</w:t>
      </w:r>
    </w:p>
    <w:p w14:paraId="75C68277" w14:textId="77777777" w:rsidR="00B03DAB" w:rsidRDefault="00B03DAB" w:rsidP="00355970">
      <w:pPr>
        <w:pStyle w:val="Akapitzlist"/>
        <w:jc w:val="both"/>
        <w:rPr>
          <w:b/>
        </w:rPr>
      </w:pPr>
    </w:p>
    <w:p w14:paraId="3ADE9A93" w14:textId="66349CED" w:rsidR="008D359E" w:rsidRPr="005345F3" w:rsidRDefault="005915D6" w:rsidP="00355970">
      <w:pPr>
        <w:pStyle w:val="Akapitzlist"/>
        <w:jc w:val="both"/>
        <w:rPr>
          <w:b/>
        </w:rPr>
      </w:pPr>
      <w:r>
        <w:rPr>
          <w:b/>
        </w:rPr>
        <w:t>Krok II</w:t>
      </w:r>
      <w:r w:rsidR="008D359E" w:rsidRPr="005345F3">
        <w:rPr>
          <w:b/>
        </w:rPr>
        <w:t xml:space="preserve">. </w:t>
      </w:r>
      <w:r w:rsidR="005B4EA5">
        <w:rPr>
          <w:b/>
        </w:rPr>
        <w:t xml:space="preserve">Obliczenie </w:t>
      </w:r>
      <w:r w:rsidR="00A539F6">
        <w:rPr>
          <w:b/>
        </w:rPr>
        <w:t>wielkości</w:t>
      </w:r>
      <w:r w:rsidR="005B4EA5">
        <w:rPr>
          <w:b/>
        </w:rPr>
        <w:t xml:space="preserve"> dofinansowania środkami EFRR</w:t>
      </w:r>
    </w:p>
    <w:p w14:paraId="08DCD737" w14:textId="77777777" w:rsidR="008D359E" w:rsidRDefault="008D359E" w:rsidP="00355970">
      <w:pPr>
        <w:pStyle w:val="Akapitzlist"/>
        <w:jc w:val="both"/>
      </w:pPr>
    </w:p>
    <w:p w14:paraId="299727A0" w14:textId="6657BE24" w:rsidR="00A60247" w:rsidRDefault="00EA3146" w:rsidP="00316187">
      <w:pPr>
        <w:pStyle w:val="Akapitzlist"/>
        <w:numPr>
          <w:ilvl w:val="0"/>
          <w:numId w:val="24"/>
        </w:numPr>
        <w:jc w:val="both"/>
      </w:pPr>
      <w:r>
        <w:t xml:space="preserve">Aby obliczyć podstawę do wyliczenia maksymalnej </w:t>
      </w:r>
      <w:r w:rsidRPr="00316187">
        <w:t xml:space="preserve">dopuszczalnej kwoty pomocy z </w:t>
      </w:r>
      <w:r w:rsidR="001B713C" w:rsidRPr="00316187">
        <w:t>EFRR należy</w:t>
      </w:r>
      <w:r w:rsidRPr="00316187">
        <w:t xml:space="preserve"> </w:t>
      </w:r>
      <w:r w:rsidR="006C51AB">
        <w:t>wyliczyć</w:t>
      </w:r>
      <w:r w:rsidR="00A60247">
        <w:t xml:space="preserve"> </w:t>
      </w:r>
    </w:p>
    <w:p w14:paraId="53C39405" w14:textId="77777777" w:rsidR="00A60247" w:rsidRDefault="00A60247" w:rsidP="00723ECF">
      <w:pPr>
        <w:pStyle w:val="Akapitzlist"/>
        <w:jc w:val="both"/>
      </w:pPr>
      <w:r>
        <w:t>koszty kwalifikowalne wg GBER oraz według PO IiŚ (niezdyskontowane koszty kwalifikowalne wg GBER należy pomniejszych o niezdyskontowane</w:t>
      </w:r>
      <w:r w:rsidRPr="00A60247">
        <w:t xml:space="preserve"> </w:t>
      </w:r>
      <w:r>
        <w:t xml:space="preserve">koszty niekwalifikowalne wg POIiŚ (np. wartość VAT)). </w:t>
      </w:r>
    </w:p>
    <w:p w14:paraId="0929C180" w14:textId="77777777" w:rsidR="00A60247" w:rsidRDefault="00A60247" w:rsidP="00723ECF">
      <w:pPr>
        <w:pStyle w:val="Akapitzlist"/>
        <w:jc w:val="both"/>
      </w:pPr>
    </w:p>
    <w:p w14:paraId="246FE20E" w14:textId="7524E309" w:rsidR="00EA3146" w:rsidRDefault="00A60247" w:rsidP="00723ECF">
      <w:pPr>
        <w:pStyle w:val="Akapitzlist"/>
        <w:jc w:val="both"/>
      </w:pPr>
      <w:r>
        <w:t xml:space="preserve">Uzyskaną wartość należy </w:t>
      </w:r>
      <w:r w:rsidR="00154413">
        <w:t xml:space="preserve">następnie pomnożyć przez stosunek maksymalnej wielkości pomocy inwestycyjnej zdyskontowanej do wielkości kosztów </w:t>
      </w:r>
      <w:r>
        <w:t>kwalifikowalnych</w:t>
      </w:r>
      <w:r w:rsidR="00154413">
        <w:t xml:space="preserve"> wg GBER zdyskontowanych</w:t>
      </w:r>
      <w:r w:rsidR="00676F55">
        <w:t xml:space="preserve">. </w:t>
      </w:r>
    </w:p>
    <w:p w14:paraId="21F0F889" w14:textId="77777777" w:rsidR="00A60247" w:rsidRDefault="00A60247" w:rsidP="00723ECF">
      <w:pPr>
        <w:pStyle w:val="Akapitzlist"/>
        <w:jc w:val="both"/>
      </w:pPr>
    </w:p>
    <w:p w14:paraId="347B599D" w14:textId="5972DD09" w:rsidR="00A60247" w:rsidRDefault="00A60247" w:rsidP="00723ECF">
      <w:pPr>
        <w:pStyle w:val="Akapitzlist"/>
        <w:jc w:val="both"/>
      </w:pPr>
      <w:r>
        <w:t>Podstawa do obliczenia kwoty pomocy z EFRR = (KK(GBER)n-KK(niekwalifikowalne wg EFRR))*</w:t>
      </w:r>
      <w:r w:rsidRPr="00A60247">
        <w:rPr>
          <w:b/>
        </w:rPr>
        <w:t xml:space="preserve"> </w:t>
      </w:r>
      <w:proofErr w:type="spellStart"/>
      <w:r w:rsidRPr="00AA20F7">
        <w:rPr>
          <w:b/>
        </w:rPr>
        <w:t>MaxP</w:t>
      </w:r>
      <w:r>
        <w:rPr>
          <w:b/>
        </w:rPr>
        <w:t>I</w:t>
      </w:r>
      <w:proofErr w:type="spellEnd"/>
      <w:r w:rsidRPr="00AA20F7">
        <w:rPr>
          <w:b/>
        </w:rPr>
        <w:t>/KK(GBER)</w:t>
      </w:r>
    </w:p>
    <w:p w14:paraId="733FF6BE" w14:textId="77777777" w:rsidR="00EA3146" w:rsidRDefault="00EA3146" w:rsidP="00316187">
      <w:pPr>
        <w:pStyle w:val="Akapitzlist"/>
      </w:pPr>
    </w:p>
    <w:p w14:paraId="77E9D80C" w14:textId="4F55FB33" w:rsidR="00EA3146" w:rsidRDefault="00995BA6" w:rsidP="00316187">
      <w:pPr>
        <w:pStyle w:val="Akapitzlist"/>
        <w:numPr>
          <w:ilvl w:val="0"/>
          <w:numId w:val="24"/>
        </w:numPr>
        <w:jc w:val="both"/>
      </w:pPr>
      <w:r w:rsidRPr="00316187">
        <w:t>M</w:t>
      </w:r>
      <w:r w:rsidR="00F17406" w:rsidRPr="00316187">
        <w:t>aksymalna dopuszczalna kwota pomocy z EFRR wynosi 80%</w:t>
      </w:r>
      <w:r w:rsidR="000C42AB" w:rsidRPr="00316187">
        <w:t xml:space="preserve"> (dla projektów zlokalizowanych na obszarze województwa mazowieckiego)</w:t>
      </w:r>
      <w:r w:rsidR="00F17406" w:rsidRPr="00316187">
        <w:t xml:space="preserve"> lub 85%</w:t>
      </w:r>
      <w:r w:rsidR="000C42AB" w:rsidRPr="00316187">
        <w:t xml:space="preserve"> (dla projektów na obszarze pozostałych województw)</w:t>
      </w:r>
      <w:r w:rsidR="00F17406" w:rsidRPr="00316187">
        <w:t xml:space="preserve"> </w:t>
      </w:r>
      <w:r w:rsidR="00EA3146">
        <w:t xml:space="preserve">podstawy wyliczonej w punkcie </w:t>
      </w:r>
      <w:r w:rsidR="00F366EF">
        <w:t>1</w:t>
      </w:r>
      <w:r w:rsidR="001B713C">
        <w:t>)</w:t>
      </w:r>
      <w:r w:rsidR="00EA3146">
        <w:t xml:space="preserve">. </w:t>
      </w:r>
    </w:p>
    <w:p w14:paraId="13A0E84A" w14:textId="77777777" w:rsidR="008B5713" w:rsidRDefault="008B5713" w:rsidP="00316187">
      <w:pPr>
        <w:pStyle w:val="Akapitzlist"/>
        <w:jc w:val="both"/>
      </w:pPr>
    </w:p>
    <w:p w14:paraId="7D965225" w14:textId="77777777" w:rsidR="00BE2515" w:rsidRPr="00F13710" w:rsidRDefault="00BE2515" w:rsidP="008B5713">
      <w:pPr>
        <w:pStyle w:val="Akapitzlist"/>
        <w:jc w:val="both"/>
        <w:rPr>
          <w:highlight w:val="cyan"/>
        </w:rPr>
      </w:pPr>
    </w:p>
    <w:p w14:paraId="28EF3E23" w14:textId="7C90F4BB" w:rsidR="001552C0" w:rsidRDefault="003D6B03" w:rsidP="003D6B03">
      <w:pPr>
        <w:jc w:val="both"/>
      </w:pPr>
      <w:r w:rsidRPr="003D6B03">
        <w:t xml:space="preserve">Do projektów </w:t>
      </w:r>
      <w:r w:rsidR="004F5274">
        <w:t>VIII osi priorytetowej PO IiŚ 2014-2020</w:t>
      </w:r>
      <w:r w:rsidRPr="003D6B03">
        <w:t xml:space="preserve"> nie stosuje się Art. 53(8) GBER, </w:t>
      </w:r>
      <w:proofErr w:type="spellStart"/>
      <w:r w:rsidRPr="003D6B03">
        <w:t>tj</w:t>
      </w:r>
      <w:proofErr w:type="spellEnd"/>
      <w:r w:rsidRPr="003D6B03">
        <w:t xml:space="preserve"> wszystkie projekty, niezależnie od wielkości pomocy, zobowiązane są do wyliczenia maksymalnej wielkości pomocy. </w:t>
      </w:r>
    </w:p>
    <w:p w14:paraId="3E6E3256" w14:textId="77777777" w:rsidR="00F17B60" w:rsidRDefault="00F17B60"/>
    <w:p w14:paraId="7D2F8A2C" w14:textId="77777777" w:rsidR="001552C0" w:rsidRDefault="001552C0" w:rsidP="00B43A70">
      <w:pPr>
        <w:jc w:val="both"/>
      </w:pPr>
      <w:r>
        <w:t>___________________________________________________________________________________</w:t>
      </w:r>
    </w:p>
    <w:p w14:paraId="23D4A270" w14:textId="77777777" w:rsidR="00B43A70" w:rsidRPr="00255796" w:rsidRDefault="00B43A70" w:rsidP="00B43A70">
      <w:pPr>
        <w:jc w:val="both"/>
      </w:pPr>
      <w:r w:rsidRPr="00255796">
        <w:t xml:space="preserve">Wzór na współczynnik dyskontowy używany </w:t>
      </w:r>
      <w:r w:rsidR="001552C0">
        <w:t xml:space="preserve">do </w:t>
      </w:r>
      <w:r w:rsidRPr="00255796">
        <w:t>dyskontowania kosztów całkowitych oraz przychodów i kosztów operacyjnych:</w:t>
      </w:r>
    </w:p>
    <w:p w14:paraId="2F685E1B" w14:textId="77777777" w:rsidR="00B43A70" w:rsidRPr="00255796" w:rsidRDefault="00B43A70" w:rsidP="00B43A70">
      <w:pPr>
        <w:pStyle w:val="Akapitzlist"/>
      </w:pPr>
    </w:p>
    <w:p w14:paraId="51EF0D38" w14:textId="77777777" w:rsidR="00B43A70" w:rsidRPr="00255796" w:rsidRDefault="00B43A70" w:rsidP="00B43A70">
      <w:proofErr w:type="spellStart"/>
      <w:r w:rsidRPr="00255796">
        <w:t>a</w:t>
      </w:r>
      <w:r w:rsidRPr="00255796">
        <w:rPr>
          <w:vertAlign w:val="subscript"/>
        </w:rPr>
        <w:t>t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den>
        </m:f>
      </m:oMath>
    </w:p>
    <w:p w14:paraId="5ADB0E42" w14:textId="77777777" w:rsidR="00B43A70" w:rsidRPr="00255796" w:rsidRDefault="00B43A70" w:rsidP="00B43A70">
      <w:pPr>
        <w:pStyle w:val="Akapitzlist"/>
        <w:jc w:val="both"/>
        <w:rPr>
          <w:rFonts w:eastAsiaTheme="minorEastAsia"/>
        </w:rPr>
      </w:pPr>
    </w:p>
    <w:p w14:paraId="20BEEFEA" w14:textId="77777777" w:rsidR="00B43A70" w:rsidRPr="00255796" w:rsidRDefault="00B43A70" w:rsidP="00B43A70">
      <w:pPr>
        <w:pStyle w:val="Akapitzlist"/>
        <w:jc w:val="both"/>
      </w:pPr>
      <w:r w:rsidRPr="00255796">
        <w:t>t – rok</w:t>
      </w:r>
      <w:r>
        <w:rPr>
          <w:rStyle w:val="Odwoanieprzypisudolnego"/>
        </w:rPr>
        <w:footnoteReference w:id="8"/>
      </w:r>
      <w:r w:rsidRPr="00255796">
        <w:t xml:space="preserve"> </w:t>
      </w:r>
    </w:p>
    <w:p w14:paraId="5806BA19" w14:textId="77777777" w:rsidR="008B5713" w:rsidRDefault="00B43A70" w:rsidP="001552C0">
      <w:pPr>
        <w:pStyle w:val="Akapitzlist"/>
        <w:jc w:val="both"/>
      </w:pPr>
      <w:r w:rsidRPr="00255796">
        <w:t>r – stopa dyskontowa</w:t>
      </w:r>
    </w:p>
    <w:p w14:paraId="54211C3A" w14:textId="77777777" w:rsidR="003E50E9" w:rsidRDefault="003E50E9" w:rsidP="001552C0">
      <w:pPr>
        <w:pStyle w:val="Akapitzlist"/>
        <w:jc w:val="both"/>
      </w:pPr>
    </w:p>
    <w:p w14:paraId="7E8DCE57" w14:textId="2326BE91" w:rsidR="00BB302D" w:rsidRPr="005F3A66" w:rsidRDefault="003E50E9" w:rsidP="005F3A66">
      <w:pPr>
        <w:jc w:val="both"/>
        <w:rPr>
          <w:b/>
        </w:rPr>
      </w:pPr>
      <w:r w:rsidRPr="005F3A66">
        <w:rPr>
          <w:b/>
        </w:rPr>
        <w:t xml:space="preserve">Przykładowy model kalkulacji maksymalnego poziomu </w:t>
      </w:r>
      <w:r w:rsidR="00723ECF">
        <w:rPr>
          <w:b/>
        </w:rPr>
        <w:t>dofinansowania</w:t>
      </w:r>
      <w:r w:rsidR="00723ECF" w:rsidRPr="005F3A66">
        <w:rPr>
          <w:b/>
        </w:rPr>
        <w:t xml:space="preserve"> </w:t>
      </w:r>
      <w:r w:rsidRPr="005F3A66">
        <w:rPr>
          <w:b/>
        </w:rPr>
        <w:t>został przedstawiony w arkuszy kalkulacyjnym stanowiącym załącznik do niniejszego opracowania.</w:t>
      </w:r>
      <w:r w:rsidR="00826389" w:rsidRPr="005F3A66">
        <w:rPr>
          <w:b/>
        </w:rPr>
        <w:t xml:space="preserve"> Kalkulacji </w:t>
      </w:r>
      <w:r w:rsidR="00723ECF">
        <w:rPr>
          <w:b/>
        </w:rPr>
        <w:t xml:space="preserve">maksymalnego </w:t>
      </w:r>
      <w:r w:rsidR="00826389" w:rsidRPr="005F3A66">
        <w:rPr>
          <w:b/>
        </w:rPr>
        <w:t xml:space="preserve">poziomu dofinansowania dla projektu należy dokonać </w:t>
      </w:r>
      <w:r w:rsidR="00B227A1" w:rsidRPr="005F3A66">
        <w:rPr>
          <w:b/>
        </w:rPr>
        <w:t>dostosowując</w:t>
      </w:r>
      <w:r w:rsidR="00826389" w:rsidRPr="005F3A66">
        <w:rPr>
          <w:b/>
        </w:rPr>
        <w:t xml:space="preserve"> formuł</w:t>
      </w:r>
      <w:r w:rsidR="00B227A1" w:rsidRPr="005F3A66">
        <w:rPr>
          <w:b/>
        </w:rPr>
        <w:t>y obliczeń oraz</w:t>
      </w:r>
      <w:r w:rsidR="00826389" w:rsidRPr="005F3A66">
        <w:rPr>
          <w:b/>
        </w:rPr>
        <w:t xml:space="preserve"> odpowiednio uzupełniając formularz danymi dla projektu (uwzględniając cały cykl życia projektu, aktualną wartość stopy dyskontowej oraz prognozowane dla poszczególnych lat wartości nakładów inwestycyjnych, przychodów i kosztów operacyjnych projektu).</w:t>
      </w:r>
      <w:r w:rsidR="00BB302D" w:rsidRPr="005F3A66">
        <w:rPr>
          <w:b/>
        </w:rPr>
        <w:t xml:space="preserve"> </w:t>
      </w:r>
    </w:p>
    <w:p w14:paraId="151E45F9" w14:textId="392B60E3" w:rsidR="00B43A70" w:rsidRDefault="00B43A70" w:rsidP="005F3A66">
      <w:pPr>
        <w:jc w:val="both"/>
      </w:pPr>
      <w:r>
        <w:br w:type="page"/>
      </w:r>
      <w:bookmarkStart w:id="0" w:name="_GoBack"/>
      <w:bookmarkEnd w:id="0"/>
    </w:p>
    <w:p w14:paraId="0CB5D4B0" w14:textId="77777777" w:rsidR="002B4108" w:rsidRDefault="002B4108" w:rsidP="00AA3C00">
      <w:pPr>
        <w:jc w:val="both"/>
      </w:pPr>
    </w:p>
    <w:p w14:paraId="36AD11A5" w14:textId="61069E5E" w:rsidR="002B4108" w:rsidRPr="002B7C3A" w:rsidRDefault="002B4108" w:rsidP="00AA3C00">
      <w:pPr>
        <w:jc w:val="both"/>
        <w:rPr>
          <w:b/>
        </w:rPr>
      </w:pPr>
      <w:r w:rsidRPr="00F366EF">
        <w:rPr>
          <w:b/>
        </w:rPr>
        <w:t>Załącznik I</w:t>
      </w:r>
      <w:r w:rsidR="002B7C3A" w:rsidRPr="00F366EF">
        <w:rPr>
          <w:b/>
        </w:rPr>
        <w:t xml:space="preserve"> </w:t>
      </w:r>
    </w:p>
    <w:p w14:paraId="288AB924" w14:textId="77777777" w:rsidR="002B4108" w:rsidRDefault="002B4108" w:rsidP="00AA3C00">
      <w:pPr>
        <w:jc w:val="both"/>
      </w:pPr>
    </w:p>
    <w:p w14:paraId="6843610E" w14:textId="77777777" w:rsidR="002B4108" w:rsidRDefault="002B4108" w:rsidP="00AA3C00">
      <w:pPr>
        <w:jc w:val="both"/>
        <w:rPr>
          <w:b/>
        </w:rPr>
      </w:pPr>
    </w:p>
    <w:p w14:paraId="626755AF" w14:textId="4E7B3606" w:rsidR="002B4108" w:rsidRPr="00F92C45" w:rsidRDefault="002B4108" w:rsidP="002B4108">
      <w:pPr>
        <w:jc w:val="both"/>
      </w:pPr>
      <w:r w:rsidRPr="00F92C45">
        <w:t xml:space="preserve">Wszyscy Beneficjenci pomocy publicznej są zobowiązani do monitorowania, czy w projekcie występuje zysk </w:t>
      </w:r>
      <w:r w:rsidR="000D64B0">
        <w:t>netto</w:t>
      </w:r>
      <w:r w:rsidR="000D64B0" w:rsidRPr="003A020E">
        <w:t xml:space="preserve"> </w:t>
      </w:r>
      <w:r w:rsidR="003A020E" w:rsidRPr="00F92C45">
        <w:t>zgodnie z krajowymi standardami rachunkowości dla działalności dotyczącej projektu</w:t>
      </w:r>
      <w:r w:rsidRPr="00F92C45">
        <w:t>, a jeśli występuje</w:t>
      </w:r>
      <w:r w:rsidR="003A020E">
        <w:t xml:space="preserve"> tak obliczony zysk </w:t>
      </w:r>
      <w:r w:rsidR="000D64B0">
        <w:t>netto</w:t>
      </w:r>
      <w:r w:rsidR="003A020E">
        <w:t>, d</w:t>
      </w:r>
      <w:r w:rsidRPr="00F92C45">
        <w:t xml:space="preserve">o </w:t>
      </w:r>
      <w:r w:rsidR="00B0712F">
        <w:t>rejestrowania co</w:t>
      </w:r>
      <w:r w:rsidR="003A020E">
        <w:t>rocznie</w:t>
      </w:r>
      <w:r w:rsidRPr="00F92C45">
        <w:t xml:space="preserve"> jego poziomu. </w:t>
      </w:r>
    </w:p>
    <w:p w14:paraId="65618308" w14:textId="77777777" w:rsidR="002B4108" w:rsidRPr="00F92C45" w:rsidRDefault="002B4108" w:rsidP="002B4108">
      <w:pPr>
        <w:jc w:val="both"/>
      </w:pPr>
    </w:p>
    <w:p w14:paraId="1F9E27AA" w14:textId="372FD943" w:rsidR="000D64B0" w:rsidRPr="00F92C45" w:rsidRDefault="002B4108" w:rsidP="000D64B0">
      <w:pPr>
        <w:jc w:val="both"/>
      </w:pPr>
      <w:r w:rsidRPr="00F92C45">
        <w:t xml:space="preserve">Beneficjent jest zobowiązany na koniec </w:t>
      </w:r>
      <w:r w:rsidR="0082329D">
        <w:t>cyklu życia inwestycji</w:t>
      </w:r>
      <w:r w:rsidRPr="00F92C45">
        <w:t xml:space="preserve"> </w:t>
      </w:r>
      <w:r w:rsidR="0082329D" w:rsidRPr="0082329D">
        <w:t xml:space="preserve">(okres amortyzacji zasadniczych aktywów (dominujących w projekcie) będących przedmiotem inwestycji) </w:t>
      </w:r>
      <w:r w:rsidRPr="00F92C45">
        <w:t xml:space="preserve">do przedstawienia </w:t>
      </w:r>
      <w:r w:rsidR="000D64B0">
        <w:t>I</w:t>
      </w:r>
      <w:r w:rsidRPr="00F92C45">
        <w:t xml:space="preserve">nstytucji </w:t>
      </w:r>
      <w:r w:rsidR="000D64B0">
        <w:t>P</w:t>
      </w:r>
      <w:r w:rsidRPr="00F92C45">
        <w:t xml:space="preserve">ośredniczącej, będącej stroną umowy o dofinansowanie projektu </w:t>
      </w:r>
      <w:r w:rsidR="000D64B0">
        <w:t xml:space="preserve">informacji czy nie wystąpił nadmierny skumulowany zysk netto w projekcie w całym okresie obowiązywania umowy. Dodatkowo dla projektów, dla których cykl życia inwestycji jest dłuższy od wynikającego z umowy o dofinansowanie okresu trwałości projektu </w:t>
      </w:r>
      <w:r w:rsidR="000D64B0" w:rsidRPr="00F92C45">
        <w:t xml:space="preserve">(tj. </w:t>
      </w:r>
      <w:r w:rsidR="000D64B0">
        <w:t>10 lat</w:t>
      </w:r>
      <w:r w:rsidR="000D64B0" w:rsidRPr="00F92C45">
        <w:t xml:space="preserve"> od podpisania umowy o dofinansowanie) </w:t>
      </w:r>
      <w:r w:rsidR="000D64B0">
        <w:t xml:space="preserve">beneficjent jest zobowiązany do przedłożenia stosowanej informacji również po upływie 10 lat od momentu zawarcia umowy. </w:t>
      </w:r>
    </w:p>
    <w:p w14:paraId="30BED747" w14:textId="517516E9" w:rsidR="00F92C45" w:rsidRDefault="00DC2402" w:rsidP="000D64B0">
      <w:pPr>
        <w:jc w:val="both"/>
      </w:pPr>
      <w:r>
        <w:t>Mechanizm wycofania („</w:t>
      </w:r>
      <w:proofErr w:type="spellStart"/>
      <w:r>
        <w:t>claw-back</w:t>
      </w:r>
      <w:proofErr w:type="spellEnd"/>
      <w:r>
        <w:t>”) n</w:t>
      </w:r>
      <w:r w:rsidR="000D64B0">
        <w:t xml:space="preserve">ależy zastosować poprzez wykazanie skumulowanej wielkość zysku netto ponad wartość rozsądnego zysku dotyczącego projektu wyliczonego zgodnie z krajowymi standardami rachunkowości. </w:t>
      </w:r>
      <w:r w:rsidR="00F92C45" w:rsidRPr="00F92C45">
        <w:t xml:space="preserve"> </w:t>
      </w:r>
    </w:p>
    <w:p w14:paraId="7BF50906" w14:textId="77777777" w:rsidR="003E50E9" w:rsidRPr="003E50E9" w:rsidRDefault="003E50E9" w:rsidP="009D09E5">
      <w:pPr>
        <w:jc w:val="both"/>
      </w:pPr>
    </w:p>
    <w:p w14:paraId="314EF5D7" w14:textId="099655A7" w:rsidR="002B4108" w:rsidRPr="00826389" w:rsidRDefault="00F92C45" w:rsidP="00F92C45">
      <w:pPr>
        <w:jc w:val="both"/>
      </w:pPr>
      <w:r w:rsidRPr="003E50E9">
        <w:t>N</w:t>
      </w:r>
      <w:r w:rsidR="002B4108" w:rsidRPr="003E50E9">
        <w:t xml:space="preserve">a etapie kontroli realizacji projektu (w trakcie realizacji, na zakończenie realizacji oraz </w:t>
      </w:r>
      <w:r w:rsidRPr="003E50E9">
        <w:t xml:space="preserve">podczas </w:t>
      </w:r>
      <w:r w:rsidR="002B4108" w:rsidRPr="003E50E9">
        <w:t>trwałości</w:t>
      </w:r>
      <w:r w:rsidRPr="003E50E9">
        <w:t xml:space="preserve"> projektu</w:t>
      </w:r>
      <w:r w:rsidR="002B4108" w:rsidRPr="003E50E9">
        <w:t>)</w:t>
      </w:r>
      <w:r w:rsidRPr="003E50E9">
        <w:t xml:space="preserve"> </w:t>
      </w:r>
      <w:r w:rsidR="0069746B" w:rsidRPr="00826389">
        <w:t>Instytucja Pośrednicząca może kontrolować</w:t>
      </w:r>
      <w:r w:rsidRPr="00826389">
        <w:t xml:space="preserve">, czy Beneficjent corocznie weryfikuje występowanie i poziom zysku </w:t>
      </w:r>
      <w:r w:rsidR="000D64B0" w:rsidRPr="00826389">
        <w:t>netto</w:t>
      </w:r>
      <w:r w:rsidR="002B4108" w:rsidRPr="00826389">
        <w:t xml:space="preserve">. </w:t>
      </w:r>
    </w:p>
    <w:p w14:paraId="43D50BBF" w14:textId="77777777" w:rsidR="002B4108" w:rsidRDefault="002B4108" w:rsidP="002B4108">
      <w:pPr>
        <w:jc w:val="both"/>
      </w:pPr>
    </w:p>
    <w:p w14:paraId="73949205" w14:textId="6760AEEC" w:rsidR="002B4108" w:rsidRPr="00F92C45" w:rsidRDefault="00F92C45" w:rsidP="002B4108">
      <w:pPr>
        <w:jc w:val="both"/>
        <w:rPr>
          <w:b/>
        </w:rPr>
      </w:pPr>
      <w:r w:rsidRPr="00F92C45">
        <w:rPr>
          <w:b/>
        </w:rPr>
        <w:t xml:space="preserve">MECHANIZM  </w:t>
      </w:r>
      <w:r w:rsidR="00880819">
        <w:rPr>
          <w:b/>
        </w:rPr>
        <w:t>WYCOFANIA</w:t>
      </w:r>
    </w:p>
    <w:p w14:paraId="25D25B5F" w14:textId="77777777" w:rsidR="00F92C45" w:rsidRDefault="00F92C45" w:rsidP="002B4108">
      <w:pPr>
        <w:jc w:val="both"/>
      </w:pPr>
    </w:p>
    <w:p w14:paraId="7E8F0C5F" w14:textId="032389FA" w:rsidR="002B4108" w:rsidRDefault="00F92C45" w:rsidP="002B4108">
      <w:pPr>
        <w:jc w:val="both"/>
      </w:pPr>
      <w:r>
        <w:t>Z</w:t>
      </w:r>
      <w:r w:rsidR="002B4108" w:rsidRPr="0089143B">
        <w:t>godnie</w:t>
      </w:r>
      <w:r w:rsidR="002B4108" w:rsidRPr="0077435A">
        <w:t xml:space="preserve"> z rozporządzeniem GBER, niezależnie od źródła pomocy (inwestycyjnej lub operacyjnej), operator infrastruktury ma prawo zatrzymać rozsądny zysk przez odnośny okres.</w:t>
      </w:r>
      <w:r w:rsidR="002B4108" w:rsidRPr="0089143B">
        <w:t xml:space="preserve"> </w:t>
      </w:r>
    </w:p>
    <w:p w14:paraId="120812C6" w14:textId="77777777" w:rsidR="00F92C45" w:rsidRDefault="00F92C45" w:rsidP="002B4108">
      <w:pPr>
        <w:jc w:val="both"/>
      </w:pPr>
    </w:p>
    <w:p w14:paraId="1994959A" w14:textId="567A611D" w:rsidR="004249F7" w:rsidRPr="00A94E89" w:rsidRDefault="004249F7" w:rsidP="002B4108">
      <w:pPr>
        <w:jc w:val="both"/>
        <w:rPr>
          <w:b/>
        </w:rPr>
      </w:pPr>
      <w:r w:rsidRPr="00A94E89">
        <w:rPr>
          <w:b/>
        </w:rPr>
        <w:t>UWAGA</w:t>
      </w:r>
      <w:r w:rsidR="00057071">
        <w:rPr>
          <w:b/>
        </w:rPr>
        <w:t xml:space="preserve"> (w przypadku, w którym Beneficjent i Operator infrastruktury są odrębnymi podmiotami)</w:t>
      </w:r>
      <w:r w:rsidRPr="00A94E89">
        <w:rPr>
          <w:b/>
        </w:rPr>
        <w:t xml:space="preserve">: </w:t>
      </w:r>
    </w:p>
    <w:p w14:paraId="1478E394" w14:textId="0570E110" w:rsidR="00CA2871" w:rsidRDefault="00F92C45" w:rsidP="002B4108">
      <w:pPr>
        <w:jc w:val="both"/>
      </w:pPr>
      <w:r>
        <w:t>W przypadku, w którym operator infrastruk</w:t>
      </w:r>
      <w:r w:rsidR="00891C2D">
        <w:t>tury zosta</w:t>
      </w:r>
      <w:r w:rsidR="004249F7">
        <w:t>nie</w:t>
      </w:r>
      <w:r w:rsidR="00891C2D">
        <w:t xml:space="preserve"> wyłoniony w trybie przetargu</w:t>
      </w:r>
      <w:r w:rsidR="006335E4">
        <w:t>,</w:t>
      </w:r>
      <w:r w:rsidR="006335E4" w:rsidRPr="006335E4">
        <w:t xml:space="preserve"> uznaje się, że poziom zysku nie będzie nadmierny zgodnie z przepisami GBER i</w:t>
      </w:r>
      <w:r w:rsidR="00891C2D">
        <w:t xml:space="preserve"> nie ma potrzeby badania poziomu zysku operatora infrastruktury. W takim przypadku, należy zweryfikować występowanie i poziom rozsądnego zysku</w:t>
      </w:r>
      <w:r w:rsidR="004249F7">
        <w:t xml:space="preserve"> </w:t>
      </w:r>
      <w:r w:rsidR="00891C2D">
        <w:t>Beneficjenta (właściciela infrast</w:t>
      </w:r>
      <w:r w:rsidR="004249F7">
        <w:t>ruktury</w:t>
      </w:r>
      <w:r w:rsidR="0026096B">
        <w:t>)</w:t>
      </w:r>
      <w:r w:rsidR="0026096B" w:rsidRPr="0026096B">
        <w:t xml:space="preserve"> </w:t>
      </w:r>
      <w:r w:rsidR="0026096B">
        <w:t>w zakresie dotycz</w:t>
      </w:r>
      <w:r w:rsidR="0026096B" w:rsidRPr="0026096B">
        <w:t>ącym projektu</w:t>
      </w:r>
      <w:r w:rsidR="004249F7">
        <w:t xml:space="preserve">. </w:t>
      </w:r>
    </w:p>
    <w:p w14:paraId="56AE5168" w14:textId="77777777" w:rsidR="00CA2871" w:rsidRDefault="00CA2871" w:rsidP="002B4108">
      <w:pPr>
        <w:jc w:val="both"/>
      </w:pPr>
    </w:p>
    <w:p w14:paraId="5AC4DF70" w14:textId="767D4F25" w:rsidR="00F92C45" w:rsidRDefault="004249F7" w:rsidP="002B4108">
      <w:pPr>
        <w:jc w:val="both"/>
      </w:pPr>
      <w:r>
        <w:t xml:space="preserve">W przypadku, w którym, operator infrastruktury </w:t>
      </w:r>
      <w:r w:rsidR="00826389">
        <w:t xml:space="preserve">został </w:t>
      </w:r>
      <w:r>
        <w:t xml:space="preserve">wyłoniony w innym trybie zgodnym z krajowymi przepisami, należy przeprowadzić analizę </w:t>
      </w:r>
      <w:r w:rsidR="0015187B">
        <w:t xml:space="preserve">poziomów </w:t>
      </w:r>
      <w:r>
        <w:t xml:space="preserve">zysku </w:t>
      </w:r>
      <w:r w:rsidR="006335E4">
        <w:t xml:space="preserve">netto </w:t>
      </w:r>
      <w:r w:rsidR="006335E4" w:rsidRPr="006335E4">
        <w:t>(</w:t>
      </w:r>
      <w:r w:rsidR="0015187B">
        <w:t xml:space="preserve">odrębnie </w:t>
      </w:r>
      <w:r w:rsidR="006335E4" w:rsidRPr="006335E4">
        <w:t>dla właściciela infrastruktury (Beneficjenta dotacji inwestycyjnej) i operatora infrastruktury) zgodnie</w:t>
      </w:r>
      <w:r>
        <w:t xml:space="preserve"> z dalszymi wytycznymi w tym rozdziale. Beneficjent jest odpowiedzialny za zawarcie odpowiednich </w:t>
      </w:r>
      <w:r w:rsidR="009219CF">
        <w:t xml:space="preserve">postanowień </w:t>
      </w:r>
      <w:r>
        <w:t xml:space="preserve">w umowie z operatorem w celu </w:t>
      </w:r>
      <w:r w:rsidR="0026096B">
        <w:t>korekty</w:t>
      </w:r>
      <w:r>
        <w:t xml:space="preserve"> nadwyżki zysku </w:t>
      </w:r>
      <w:r w:rsidR="006335E4">
        <w:t xml:space="preserve">netto </w:t>
      </w:r>
      <w:r>
        <w:t xml:space="preserve">ponad zysk </w:t>
      </w:r>
      <w:r w:rsidR="006335E4">
        <w:t>rozsądny</w:t>
      </w:r>
      <w:r>
        <w:t xml:space="preserve">. </w:t>
      </w:r>
    </w:p>
    <w:p w14:paraId="0D86F06F" w14:textId="77777777" w:rsidR="00F92C45" w:rsidRDefault="00F92C45" w:rsidP="002B4108">
      <w:pPr>
        <w:jc w:val="both"/>
      </w:pPr>
    </w:p>
    <w:p w14:paraId="50DA8395" w14:textId="77777777" w:rsidR="002B4108" w:rsidRDefault="002B4108" w:rsidP="002B4108">
      <w:pPr>
        <w:jc w:val="both"/>
      </w:pPr>
      <w:r>
        <w:t xml:space="preserve">Uznaje się, że </w:t>
      </w:r>
      <w:r w:rsidRPr="005345F3">
        <w:t xml:space="preserve">akceptowana wartość rozsądnego zysku jest równa wartości odnośnej stopy </w:t>
      </w:r>
      <w:proofErr w:type="spellStart"/>
      <w:r w:rsidRPr="005345F3">
        <w:t>swapu</w:t>
      </w:r>
      <w:proofErr w:type="spellEnd"/>
      <w:r w:rsidRPr="005345F3">
        <w:t xml:space="preserve"> powiększonej o premię w wysokości 100 punktów bazowych (GBER Art 53 (142)). Stopa </w:t>
      </w:r>
      <w:proofErr w:type="spellStart"/>
      <w:r w:rsidRPr="005345F3">
        <w:t>swap</w:t>
      </w:r>
      <w:proofErr w:type="spellEnd"/>
      <w:r w:rsidRPr="005345F3">
        <w:t xml:space="preserve"> - stopa dla instrumentów o dłuższym terminie wymagalności odpowiadająca międzybankowej oferowanej stopie referencyjnej (stopie IBOR), publikowana</w:t>
      </w:r>
      <w:r>
        <w:t xml:space="preserve"> jest</w:t>
      </w:r>
      <w:r w:rsidRPr="005345F3">
        <w:t xml:space="preserve"> na stronie: http://ec.europa.eu/competition/state_aid/legislation/swap_rates_en.html. Wartości stopy </w:t>
      </w:r>
      <w:proofErr w:type="spellStart"/>
      <w:r w:rsidRPr="005345F3">
        <w:t>swap</w:t>
      </w:r>
      <w:proofErr w:type="spellEnd"/>
      <w:r w:rsidRPr="005345F3">
        <w:t xml:space="preserve"> są podawane dla wartości dla okresów 1-10 lat. W przypadku inwestycji, dla których cykl życia inwestycji przekracza 10 lat należy przyjąć zastosować wartość stopy </w:t>
      </w:r>
      <w:proofErr w:type="spellStart"/>
      <w:r w:rsidRPr="005345F3">
        <w:t>swap</w:t>
      </w:r>
      <w:proofErr w:type="spellEnd"/>
      <w:r w:rsidRPr="005345F3">
        <w:t xml:space="preserve"> dla 10 letniego okresu.</w:t>
      </w:r>
    </w:p>
    <w:p w14:paraId="69F6DAB2" w14:textId="77777777" w:rsidR="002B4108" w:rsidRDefault="002B4108" w:rsidP="002B4108">
      <w:pPr>
        <w:jc w:val="both"/>
      </w:pPr>
    </w:p>
    <w:p w14:paraId="3E30CA43" w14:textId="60F75877" w:rsidR="002B4108" w:rsidRDefault="002B4108" w:rsidP="002B4108">
      <w:pPr>
        <w:jc w:val="both"/>
      </w:pPr>
      <w:r>
        <w:t xml:space="preserve">Poziom rozsądnego zysku </w:t>
      </w:r>
      <w:r w:rsidR="006335E4">
        <w:t xml:space="preserve">to poziom </w:t>
      </w:r>
      <w:r>
        <w:t xml:space="preserve">zysku netto </w:t>
      </w:r>
      <w:r w:rsidR="000420A2">
        <w:t xml:space="preserve">(zgodnie z krajowymi standardami rachunkowości) </w:t>
      </w:r>
      <w:r>
        <w:t xml:space="preserve">umożliwiający uzyskanie </w:t>
      </w:r>
      <w:r w:rsidR="006335E4" w:rsidRPr="00455F0A">
        <w:t>rentowno</w:t>
      </w:r>
      <w:r w:rsidR="006335E4">
        <w:t>ści</w:t>
      </w:r>
      <w:r w:rsidR="006335E4" w:rsidRPr="00455F0A">
        <w:t xml:space="preserve"> </w:t>
      </w:r>
      <w:r w:rsidRPr="00455F0A">
        <w:t>sprzedaży netto</w:t>
      </w:r>
      <w:r>
        <w:t xml:space="preserve"> na poziomie </w:t>
      </w:r>
      <w:proofErr w:type="spellStart"/>
      <w:r>
        <w:t>swap</w:t>
      </w:r>
      <w:proofErr w:type="spellEnd"/>
      <w:r>
        <w:t xml:space="preserve"> plus 100 punktów bazowych. </w:t>
      </w:r>
    </w:p>
    <w:p w14:paraId="70CC3FE2" w14:textId="77777777" w:rsidR="002B4108" w:rsidRDefault="002B4108" w:rsidP="002B4108">
      <w:pPr>
        <w:jc w:val="both"/>
      </w:pPr>
    </w:p>
    <w:p w14:paraId="475E4D8C" w14:textId="5D2F6D0D" w:rsidR="00B107F1" w:rsidRDefault="004249F7" w:rsidP="004249F7">
      <w:pPr>
        <w:jc w:val="both"/>
      </w:pPr>
      <w:r>
        <w:t xml:space="preserve">Beneficjent/Operator zobowiązany jest prowadzić rachunkowość w sposób umożliwiający </w:t>
      </w:r>
      <w:r w:rsidR="000420A2">
        <w:t>wyodrębnienie</w:t>
      </w:r>
      <w:r>
        <w:t xml:space="preserve"> kosztów i przychodów związanych ze świadczeniem usług w ramach</w:t>
      </w:r>
      <w:r w:rsidR="000420A2">
        <w:t xml:space="preserve"> dotowanego </w:t>
      </w:r>
      <w:r>
        <w:t xml:space="preserve">projektu </w:t>
      </w:r>
      <w:r w:rsidR="00B107F1">
        <w:t xml:space="preserve">poprzez całkowite lub proporcjonalne przypisanie kosztów i przychodów do tego projektu. </w:t>
      </w:r>
    </w:p>
    <w:p w14:paraId="34951415" w14:textId="77777777" w:rsidR="004249F7" w:rsidRDefault="004249F7" w:rsidP="002B4108">
      <w:pPr>
        <w:jc w:val="both"/>
      </w:pPr>
    </w:p>
    <w:p w14:paraId="66BBAF3E" w14:textId="7F77840E" w:rsidR="002B4108" w:rsidRDefault="002B4108" w:rsidP="002B4108">
      <w:pPr>
        <w:jc w:val="both"/>
      </w:pPr>
      <w:r w:rsidRPr="00C0366C">
        <w:t>W kalkulacji kosztów</w:t>
      </w:r>
      <w:r w:rsidR="00397C2E">
        <w:t xml:space="preserve"> i przychodów</w:t>
      </w:r>
      <w:r w:rsidRPr="00C0366C">
        <w:t xml:space="preserve"> usług objętych </w:t>
      </w:r>
      <w:r>
        <w:t>projektem</w:t>
      </w:r>
      <w:r w:rsidRPr="00C0366C">
        <w:t xml:space="preserve"> </w:t>
      </w:r>
      <w:r>
        <w:t xml:space="preserve">(na cele weryfikacji poziomu rozsądnego zysku) </w:t>
      </w:r>
      <w:r w:rsidRPr="00C0366C">
        <w:t>powinny zostać uwzględnione wszystkie koszty</w:t>
      </w:r>
      <w:r w:rsidR="00397C2E">
        <w:t xml:space="preserve"> </w:t>
      </w:r>
      <w:r w:rsidR="00397C2E" w:rsidRPr="00C0366C">
        <w:t>związane ze świadczeniem tych usług</w:t>
      </w:r>
      <w:r w:rsidR="00397C2E">
        <w:t xml:space="preserve"> (</w:t>
      </w:r>
      <w:r w:rsidR="00397C2E" w:rsidRPr="00C0366C">
        <w:t>zarówno koszty stałe jak i zmienne</w:t>
      </w:r>
      <w:r w:rsidR="00397C2E">
        <w:t>)</w:t>
      </w:r>
      <w:r w:rsidRPr="00C0366C">
        <w:t xml:space="preserve"> </w:t>
      </w:r>
      <w:r w:rsidR="00397C2E">
        <w:t xml:space="preserve">i przychody </w:t>
      </w:r>
      <w:r w:rsidRPr="00C0366C">
        <w:t>związane ze świadczeniem tych usług, , w tym m.in.:</w:t>
      </w:r>
    </w:p>
    <w:p w14:paraId="493EDE2D" w14:textId="77777777" w:rsidR="002B4108" w:rsidRDefault="002B4108" w:rsidP="002B4108">
      <w:pPr>
        <w:jc w:val="both"/>
      </w:pPr>
    </w:p>
    <w:p w14:paraId="0BDE3978" w14:textId="4EE119CF" w:rsidR="002B4108" w:rsidRDefault="00FC7B89" w:rsidP="002B4108">
      <w:pPr>
        <w:pStyle w:val="Akapitzlist"/>
        <w:numPr>
          <w:ilvl w:val="0"/>
          <w:numId w:val="29"/>
        </w:numPr>
        <w:jc w:val="both"/>
      </w:pPr>
      <w:r>
        <w:t xml:space="preserve">wszystkie </w:t>
      </w:r>
      <w:r w:rsidR="002B4108">
        <w:t xml:space="preserve">koszty </w:t>
      </w:r>
      <w:r w:rsidR="00462E84">
        <w:t xml:space="preserve">bezpośrednie </w:t>
      </w:r>
      <w:r w:rsidR="002B4108">
        <w:t>związane z działalnością, którą obejmuje projekt kalkulowane zgodnie z zasadami rachunkowości,</w:t>
      </w:r>
    </w:p>
    <w:p w14:paraId="6DB8C172" w14:textId="366A2E68" w:rsidR="002B4108" w:rsidRPr="00F92C45" w:rsidRDefault="002B4108" w:rsidP="002B4108">
      <w:pPr>
        <w:pStyle w:val="Akapitzlist"/>
        <w:numPr>
          <w:ilvl w:val="0"/>
          <w:numId w:val="29"/>
        </w:numPr>
        <w:jc w:val="both"/>
      </w:pPr>
      <w:r>
        <w:t xml:space="preserve">koszty </w:t>
      </w:r>
      <w:r w:rsidR="00462E84">
        <w:t>pośrednie, w tym</w:t>
      </w:r>
      <w:r>
        <w:t xml:space="preserve"> zarządu i administracji </w:t>
      </w:r>
      <w:r w:rsidR="002E4C50">
        <w:t xml:space="preserve">związane z działalnością, którą obejmuje projekt </w:t>
      </w:r>
      <w:r>
        <w:t>(odpowiednio podzielone w przypadku, gdy Beneficjent</w:t>
      </w:r>
      <w:r w:rsidR="004249F7">
        <w:t>/Operator</w:t>
      </w:r>
      <w:r>
        <w:t xml:space="preserve"> prowadzi inną </w:t>
      </w:r>
      <w:r w:rsidRPr="00F92C45">
        <w:t>działalność niż świadczenie usług w ramach projektu),</w:t>
      </w:r>
    </w:p>
    <w:p w14:paraId="2C0C6FFA" w14:textId="1C56B68A" w:rsidR="00462E84" w:rsidRDefault="00462E84" w:rsidP="002B4108">
      <w:pPr>
        <w:pStyle w:val="Akapitzlist"/>
        <w:numPr>
          <w:ilvl w:val="0"/>
          <w:numId w:val="29"/>
        </w:numPr>
        <w:jc w:val="both"/>
      </w:pPr>
      <w:r>
        <w:t>przychody bezpośrednie i przychody pośrednio związane z działalnością</w:t>
      </w:r>
      <w:r w:rsidR="00EA2625">
        <w:t>, którą obejmuje projekt</w:t>
      </w:r>
      <w:r>
        <w:t xml:space="preserve"> (odpowiednio podzielone w przypadku, gdy Beneficjent/Operator prowadzi inną </w:t>
      </w:r>
      <w:r w:rsidRPr="00F92C45">
        <w:t>działalność niż świadczenie usług w ramach projektu),</w:t>
      </w:r>
    </w:p>
    <w:p w14:paraId="22913676" w14:textId="45A59AE2" w:rsidR="00462E84" w:rsidRDefault="00462E84" w:rsidP="002B4108">
      <w:pPr>
        <w:pStyle w:val="Akapitzlist"/>
        <w:numPr>
          <w:ilvl w:val="0"/>
          <w:numId w:val="29"/>
        </w:numPr>
        <w:jc w:val="both"/>
      </w:pPr>
      <w:r>
        <w:lastRenderedPageBreak/>
        <w:t>w kalkulacji należy także uwzględnić pozostałe przychody z działalności operacyjnej, w tym rozliczenie dotacji inwestycyjnej w danym roku</w:t>
      </w:r>
      <w:r w:rsidR="00EA2625">
        <w:t xml:space="preserve"> obrachunkowym</w:t>
      </w:r>
    </w:p>
    <w:p w14:paraId="63E235C3" w14:textId="0CAD9D0E" w:rsidR="002B4108" w:rsidRPr="00F92C45" w:rsidRDefault="002B4108" w:rsidP="002B4108">
      <w:pPr>
        <w:pStyle w:val="Akapitzlist"/>
        <w:numPr>
          <w:ilvl w:val="0"/>
          <w:numId w:val="29"/>
        </w:numPr>
        <w:jc w:val="both"/>
      </w:pPr>
      <w:r w:rsidRPr="00F92C45">
        <w:t xml:space="preserve">VAT należy uwzględnić w kalkulacji </w:t>
      </w:r>
      <w:r w:rsidR="0004274E">
        <w:t>kosztów</w:t>
      </w:r>
      <w:r w:rsidRPr="00F92C45">
        <w:t xml:space="preserve">, zgodnie z przepisami podatkowymi, gdy podatek VAT stanowi rzeczywisty </w:t>
      </w:r>
      <w:proofErr w:type="spellStart"/>
      <w:r w:rsidRPr="00F92C45">
        <w:t>nieodzyskiwalny</w:t>
      </w:r>
      <w:proofErr w:type="spellEnd"/>
      <w:r w:rsidRPr="00F92C45">
        <w:t xml:space="preserve"> wydatek podmiotu ponoszącego wydatki </w:t>
      </w:r>
    </w:p>
    <w:p w14:paraId="783563B6" w14:textId="77777777" w:rsidR="002B4108" w:rsidRDefault="002B4108" w:rsidP="002B4108">
      <w:pPr>
        <w:pStyle w:val="Akapitzlist"/>
        <w:numPr>
          <w:ilvl w:val="0"/>
          <w:numId w:val="29"/>
        </w:numPr>
        <w:jc w:val="both"/>
      </w:pPr>
      <w:r>
        <w:t>podatek dochodowy (ze względu na fakt, że zakładany zysk przyjęty do kalkulacji poziomu rozsądnego zysku jest kalkulowany w oparciu o zysk po opodatkowaniu).</w:t>
      </w:r>
    </w:p>
    <w:p w14:paraId="333F3035" w14:textId="77777777" w:rsidR="002B4108" w:rsidRDefault="002B4108" w:rsidP="002B4108">
      <w:pPr>
        <w:jc w:val="both"/>
      </w:pPr>
    </w:p>
    <w:p w14:paraId="41C4354B" w14:textId="027DD044" w:rsidR="002B4108" w:rsidRDefault="002B4108" w:rsidP="002B4108">
      <w:pPr>
        <w:jc w:val="both"/>
      </w:pPr>
      <w:r w:rsidRPr="004249F7">
        <w:t xml:space="preserve">W przypadku, gdy w projekcie </w:t>
      </w:r>
      <w:r w:rsidR="006335E4">
        <w:t xml:space="preserve">wystąpi zysk netto ponad poziom rozsądnego zysku w okresie </w:t>
      </w:r>
      <w:r w:rsidR="00377269">
        <w:t xml:space="preserve">cyklu życia inwestycji (również w momencie zakończenia okresu trwałości projektu - w przypadku </w:t>
      </w:r>
      <w:r w:rsidR="00802E37">
        <w:t>inwestycji</w:t>
      </w:r>
      <w:r w:rsidR="00377269">
        <w:t>, dla których cykl życia wykracza poza okres 10 lat od momentu zawarcia umowy o dofinansowanie)</w:t>
      </w:r>
      <w:r w:rsidRPr="004249F7">
        <w:t xml:space="preserve">, wówczas należy </w:t>
      </w:r>
      <w:r w:rsidR="00E05164">
        <w:t>dokonać</w:t>
      </w:r>
      <w:r w:rsidR="00B30664">
        <w:t xml:space="preserve"> zwrot</w:t>
      </w:r>
      <w:r w:rsidR="00E05164">
        <w:t xml:space="preserve">u nadmiernego dofinansowania </w:t>
      </w:r>
      <w:r w:rsidR="006335E4">
        <w:t>ze środków EFRR</w:t>
      </w:r>
      <w:r w:rsidR="00B84338">
        <w:t xml:space="preserve"> wraz z odsetkami naliczonymi na podstawie obowiązujących przepisów prawa</w:t>
      </w:r>
      <w:r w:rsidR="00B30664">
        <w:t xml:space="preserve">. </w:t>
      </w:r>
    </w:p>
    <w:p w14:paraId="4973C896" w14:textId="77777777" w:rsidR="00BB302D" w:rsidRDefault="00BB302D" w:rsidP="002B4108">
      <w:pPr>
        <w:jc w:val="both"/>
      </w:pPr>
    </w:p>
    <w:p w14:paraId="4F98A03C" w14:textId="1E956A5C" w:rsidR="002B6A31" w:rsidRDefault="002B6A31" w:rsidP="002B4108">
      <w:pPr>
        <w:jc w:val="both"/>
      </w:pPr>
      <w:r w:rsidRPr="002B6A31">
        <w:t>Zgodność z regułami rynku wewnętrznego UE ewentualnej pomocy operacyjnej dla operatora infrastruktury odrębnego od jej właściciela powinna być o</w:t>
      </w:r>
      <w:r>
        <w:t>ceniana w oparciu o art. 53</w:t>
      </w:r>
      <w:r w:rsidRPr="002B6A31">
        <w:t xml:space="preserve"> </w:t>
      </w:r>
      <w:r>
        <w:t>(</w:t>
      </w:r>
      <w:r w:rsidRPr="002B6A31">
        <w:t>7</w:t>
      </w:r>
      <w:r>
        <w:t>)</w:t>
      </w:r>
      <w:r w:rsidRPr="002B6A31">
        <w:t xml:space="preserve"> GBER</w:t>
      </w:r>
    </w:p>
    <w:sectPr w:rsidR="002B6A31" w:rsidSect="002D66C1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C2DA" w14:textId="77777777" w:rsidR="00090148" w:rsidRDefault="00090148" w:rsidP="00B5457A">
      <w:r>
        <w:separator/>
      </w:r>
    </w:p>
  </w:endnote>
  <w:endnote w:type="continuationSeparator" w:id="0">
    <w:p w14:paraId="2B224EA6" w14:textId="77777777" w:rsidR="00090148" w:rsidRDefault="00090148" w:rsidP="00B5457A">
      <w:r>
        <w:continuationSeparator/>
      </w:r>
    </w:p>
  </w:endnote>
  <w:endnote w:type="continuationNotice" w:id="1">
    <w:p w14:paraId="72392C05" w14:textId="77777777" w:rsidR="00090148" w:rsidRDefault="00090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DD4D" w14:textId="77777777" w:rsidR="00874A03" w:rsidRDefault="00874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5392" w14:textId="77777777" w:rsidR="00090148" w:rsidRDefault="00090148" w:rsidP="00B5457A">
      <w:r>
        <w:separator/>
      </w:r>
    </w:p>
  </w:footnote>
  <w:footnote w:type="continuationSeparator" w:id="0">
    <w:p w14:paraId="19977202" w14:textId="77777777" w:rsidR="00090148" w:rsidRDefault="00090148" w:rsidP="00B5457A">
      <w:r>
        <w:continuationSeparator/>
      </w:r>
    </w:p>
  </w:footnote>
  <w:footnote w:type="continuationNotice" w:id="1">
    <w:p w14:paraId="51396610" w14:textId="77777777" w:rsidR="00090148" w:rsidRDefault="00090148"/>
  </w:footnote>
  <w:footnote w:id="2">
    <w:p w14:paraId="0EF797E5" w14:textId="77777777" w:rsidR="005F2C2A" w:rsidRPr="009C2854" w:rsidRDefault="005F2C2A" w:rsidP="005F2C2A">
      <w:pPr>
        <w:pStyle w:val="Tekstprzypisudolnego"/>
        <w:rPr>
          <w:sz w:val="18"/>
          <w:szCs w:val="18"/>
          <w:lang w:val="en-GB"/>
        </w:rPr>
      </w:pPr>
      <w:r w:rsidRPr="00316187">
        <w:rPr>
          <w:rStyle w:val="Odwoanieprzypisudolnego"/>
          <w:sz w:val="18"/>
          <w:szCs w:val="18"/>
        </w:rPr>
        <w:footnoteRef/>
      </w:r>
      <w:r w:rsidRPr="00316187">
        <w:rPr>
          <w:sz w:val="18"/>
          <w:szCs w:val="18"/>
          <w:lang w:val="en-GB"/>
        </w:rPr>
        <w:t xml:space="preserve"> </w:t>
      </w:r>
      <w:proofErr w:type="spellStart"/>
      <w:r w:rsidRPr="009C2854">
        <w:rPr>
          <w:sz w:val="18"/>
          <w:szCs w:val="18"/>
          <w:lang w:val="en-GB"/>
        </w:rPr>
        <w:t>Szczegóły</w:t>
      </w:r>
      <w:proofErr w:type="spellEnd"/>
      <w:r w:rsidRPr="009C2854">
        <w:rPr>
          <w:sz w:val="18"/>
          <w:szCs w:val="18"/>
          <w:lang w:val="en-GB"/>
        </w:rPr>
        <w:t xml:space="preserve"> </w:t>
      </w:r>
      <w:proofErr w:type="spellStart"/>
      <w:r w:rsidRPr="009C2854">
        <w:rPr>
          <w:sz w:val="18"/>
          <w:szCs w:val="18"/>
          <w:lang w:val="en-GB"/>
        </w:rPr>
        <w:t>zamieszczone</w:t>
      </w:r>
      <w:proofErr w:type="spellEnd"/>
      <w:r w:rsidRPr="009C2854">
        <w:rPr>
          <w:sz w:val="18"/>
          <w:szCs w:val="18"/>
          <w:lang w:val="en-GB"/>
        </w:rPr>
        <w:t xml:space="preserve"> </w:t>
      </w:r>
      <w:proofErr w:type="spellStart"/>
      <w:r w:rsidRPr="009C2854">
        <w:rPr>
          <w:sz w:val="18"/>
          <w:szCs w:val="18"/>
          <w:lang w:val="en-GB"/>
        </w:rPr>
        <w:t>są</w:t>
      </w:r>
      <w:proofErr w:type="spellEnd"/>
      <w:r w:rsidRPr="009C2854">
        <w:rPr>
          <w:sz w:val="18"/>
          <w:szCs w:val="18"/>
          <w:lang w:val="en-GB"/>
        </w:rPr>
        <w:t xml:space="preserve"> </w:t>
      </w:r>
      <w:proofErr w:type="spellStart"/>
      <w:r w:rsidRPr="009C2854">
        <w:rPr>
          <w:sz w:val="18"/>
          <w:szCs w:val="18"/>
          <w:lang w:val="en-GB"/>
        </w:rPr>
        <w:t>na</w:t>
      </w:r>
      <w:proofErr w:type="spellEnd"/>
      <w:r w:rsidRPr="009C2854">
        <w:rPr>
          <w:sz w:val="18"/>
          <w:szCs w:val="18"/>
          <w:lang w:val="en-GB"/>
        </w:rPr>
        <w:t xml:space="preserve"> </w:t>
      </w:r>
      <w:proofErr w:type="spellStart"/>
      <w:r w:rsidRPr="009C2854">
        <w:rPr>
          <w:sz w:val="18"/>
          <w:szCs w:val="18"/>
          <w:lang w:val="en-GB"/>
        </w:rPr>
        <w:t>stronie</w:t>
      </w:r>
      <w:proofErr w:type="spellEnd"/>
      <w:r w:rsidRPr="009C2854">
        <w:rPr>
          <w:sz w:val="18"/>
          <w:szCs w:val="18"/>
          <w:lang w:val="en-GB"/>
        </w:rPr>
        <w:t xml:space="preserve"> KE: “Analytical Grids on the application of State aid rules to the financing of infrastructure projects”, Grid no 5: Construction of culture infrastructures. </w:t>
      </w:r>
    </w:p>
  </w:footnote>
  <w:footnote w:id="3">
    <w:p w14:paraId="55CEE524" w14:textId="4D921A14" w:rsidR="00552F52" w:rsidRPr="00552F52" w:rsidRDefault="00552F52">
      <w:pPr>
        <w:pStyle w:val="Tekstprzypisudolnego"/>
      </w:pPr>
      <w:r>
        <w:rPr>
          <w:rStyle w:val="Odwoanieprzypisudolnego"/>
        </w:rPr>
        <w:footnoteRef/>
      </w:r>
      <w:r w:rsidRPr="009D09E5">
        <w:t>Dokument dostępny na stronie:</w:t>
      </w:r>
      <w:r w:rsidRPr="00552F52">
        <w:t xml:space="preserve"> https://www.pois.gov.pl/media/11842/4_proj_kom_pp_27112015.pdf</w:t>
      </w:r>
    </w:p>
  </w:footnote>
  <w:footnote w:id="4">
    <w:p w14:paraId="4B8AF3E6" w14:textId="6C97842A" w:rsidR="00595E57" w:rsidRPr="009C2854" w:rsidRDefault="00595E57">
      <w:pPr>
        <w:pStyle w:val="Tekstprzypisudolnego"/>
        <w:rPr>
          <w:b/>
          <w:color w:val="FF0000"/>
          <w:sz w:val="18"/>
          <w:szCs w:val="18"/>
        </w:rPr>
      </w:pPr>
      <w:r w:rsidRPr="009C2854">
        <w:rPr>
          <w:rStyle w:val="Odwoanieprzypisudolnego"/>
          <w:sz w:val="18"/>
          <w:szCs w:val="18"/>
        </w:rPr>
        <w:footnoteRef/>
      </w:r>
      <w:r w:rsidRPr="009C2854">
        <w:rPr>
          <w:sz w:val="18"/>
          <w:szCs w:val="18"/>
        </w:rPr>
        <w:t xml:space="preserve"> </w:t>
      </w:r>
      <w:r w:rsidR="00970574" w:rsidRPr="009C2854">
        <w:rPr>
          <w:sz w:val="18"/>
          <w:szCs w:val="18"/>
        </w:rPr>
        <w:t>Należy zastosować :</w:t>
      </w:r>
      <w:r w:rsidRPr="009C2854">
        <w:rPr>
          <w:sz w:val="18"/>
          <w:szCs w:val="18"/>
        </w:rPr>
        <w:t>Wytyczne w zakresie zagadnień związanych z przygotowaniem projektów inwestycyjnych, w tym projektów generujących dochód i projektów hybrydowych na lata 2014-2020, Warszawa 18 marca 2015</w:t>
      </w:r>
      <w:r w:rsidR="00916C18" w:rsidRPr="009C2854">
        <w:rPr>
          <w:sz w:val="18"/>
          <w:szCs w:val="18"/>
        </w:rPr>
        <w:t xml:space="preserve">. </w:t>
      </w:r>
      <w:r w:rsidR="00970574" w:rsidRPr="009C2854">
        <w:rPr>
          <w:sz w:val="18"/>
          <w:szCs w:val="18"/>
        </w:rPr>
        <w:t xml:space="preserve">Należy zastosować okres referencyjny </w:t>
      </w:r>
      <w:r w:rsidR="006A2B3B" w:rsidRPr="009C2854">
        <w:rPr>
          <w:sz w:val="18"/>
          <w:szCs w:val="18"/>
        </w:rPr>
        <w:t>15 lat</w:t>
      </w:r>
      <w:r w:rsidR="00970574" w:rsidRPr="009C2854">
        <w:rPr>
          <w:sz w:val="18"/>
          <w:szCs w:val="18"/>
        </w:rPr>
        <w:t xml:space="preserve">, zgodnie z Załącznikiem I do rozporządzenia nr 480/2014.  </w:t>
      </w:r>
      <w:r w:rsidR="00916C18" w:rsidRPr="009C2854">
        <w:rPr>
          <w:sz w:val="18"/>
          <w:szCs w:val="18"/>
        </w:rPr>
        <w:t xml:space="preserve"> </w:t>
      </w:r>
    </w:p>
  </w:footnote>
  <w:footnote w:id="5">
    <w:p w14:paraId="2CBB91E0" w14:textId="3EBBCB0C" w:rsidR="005F2C2A" w:rsidRPr="009C2854" w:rsidRDefault="005F2C2A" w:rsidP="005F2C2A">
      <w:pPr>
        <w:pStyle w:val="Tekstprzypisudolnego"/>
        <w:rPr>
          <w:sz w:val="18"/>
          <w:szCs w:val="18"/>
        </w:rPr>
      </w:pPr>
      <w:r w:rsidRPr="009C2854">
        <w:rPr>
          <w:rStyle w:val="Odwoanieprzypisudolnego"/>
          <w:sz w:val="18"/>
          <w:szCs w:val="18"/>
        </w:rPr>
        <w:footnoteRef/>
      </w:r>
      <w:r w:rsidRPr="009C2854">
        <w:rPr>
          <w:sz w:val="18"/>
          <w:szCs w:val="18"/>
        </w:rPr>
        <w:t xml:space="preserve"> Rozporządzenie KE nr 651/2014 z dnia 17 czerwca 2014 r. uznające niektóre rodzaje pomocy za zgodne z rynkiem wewnętrznym w zastosowaniu art. 107 i 108 Traktatu</w:t>
      </w:r>
      <w:r w:rsidR="004A45D9">
        <w:rPr>
          <w:sz w:val="18"/>
          <w:szCs w:val="18"/>
        </w:rPr>
        <w:t xml:space="preserve"> (</w:t>
      </w:r>
      <w:r w:rsidR="004A45D9" w:rsidRPr="004A45D9">
        <w:rPr>
          <w:sz w:val="18"/>
          <w:szCs w:val="18"/>
        </w:rPr>
        <w:t>Dz. Urz. UE L 187 z 26.6.2014)</w:t>
      </w:r>
      <w:r w:rsidR="004A45D9">
        <w:rPr>
          <w:sz w:val="18"/>
          <w:szCs w:val="18"/>
        </w:rPr>
        <w:t>.</w:t>
      </w:r>
    </w:p>
  </w:footnote>
  <w:footnote w:id="6">
    <w:p w14:paraId="270EC8B0" w14:textId="573F1997" w:rsidR="004E3D4E" w:rsidRPr="00DD1F73" w:rsidRDefault="004E3D4E" w:rsidP="004E3D4E">
      <w:pPr>
        <w:pStyle w:val="Tekstprzypisudolnego"/>
      </w:pPr>
      <w:r w:rsidRPr="009C2854">
        <w:rPr>
          <w:rStyle w:val="Odwoanieprzypisudolnego"/>
          <w:sz w:val="18"/>
          <w:szCs w:val="18"/>
        </w:rPr>
        <w:footnoteRef/>
      </w:r>
      <w:r w:rsidRPr="009C2854">
        <w:rPr>
          <w:sz w:val="18"/>
          <w:szCs w:val="18"/>
        </w:rPr>
        <w:t xml:space="preserve"> Stopa dyskontowa </w:t>
      </w:r>
      <w:r w:rsidR="004A45D9">
        <w:rPr>
          <w:sz w:val="18"/>
          <w:szCs w:val="18"/>
        </w:rPr>
        <w:t>=</w:t>
      </w:r>
      <w:r w:rsidRPr="009C2854">
        <w:rPr>
          <w:sz w:val="18"/>
          <w:szCs w:val="18"/>
        </w:rPr>
        <w:t xml:space="preserve"> stopa bazowa </w:t>
      </w:r>
      <w:r w:rsidR="004A45D9">
        <w:rPr>
          <w:sz w:val="18"/>
          <w:szCs w:val="18"/>
        </w:rPr>
        <w:t>+</w:t>
      </w:r>
      <w:r w:rsidRPr="009C2854">
        <w:rPr>
          <w:sz w:val="18"/>
          <w:szCs w:val="18"/>
        </w:rPr>
        <w:t xml:space="preserve"> marża 100 punktów bazowych. Stopy bazowa i dyskontowa publikowane są na </w:t>
      </w:r>
      <w:r w:rsidR="004A45D9" w:rsidRPr="009C2854">
        <w:rPr>
          <w:sz w:val="18"/>
          <w:szCs w:val="18"/>
        </w:rPr>
        <w:t>stron</w:t>
      </w:r>
      <w:r w:rsidR="004A45D9">
        <w:rPr>
          <w:sz w:val="18"/>
          <w:szCs w:val="18"/>
        </w:rPr>
        <w:t>ach</w:t>
      </w:r>
      <w:r w:rsidR="004A45D9" w:rsidRPr="009C2854">
        <w:rPr>
          <w:sz w:val="18"/>
          <w:szCs w:val="18"/>
        </w:rPr>
        <w:t xml:space="preserve"> internetow</w:t>
      </w:r>
      <w:r w:rsidR="004A45D9">
        <w:rPr>
          <w:sz w:val="18"/>
          <w:szCs w:val="18"/>
        </w:rPr>
        <w:t>ych</w:t>
      </w:r>
      <w:r w:rsidR="001B5786">
        <w:rPr>
          <w:sz w:val="18"/>
          <w:szCs w:val="18"/>
        </w:rPr>
        <w:t xml:space="preserve"> UOKiK. </w:t>
      </w:r>
      <w:r w:rsidRPr="009C2854">
        <w:rPr>
          <w:sz w:val="18"/>
          <w:szCs w:val="18"/>
        </w:rPr>
        <w:t xml:space="preserve">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</w:t>
      </w:r>
      <w:r w:rsidR="006C51AB">
        <w:rPr>
          <w:sz w:val="18"/>
          <w:szCs w:val="18"/>
        </w:rPr>
        <w:t>inwestycyjnej</w:t>
      </w:r>
      <w:r w:rsidR="006C51AB" w:rsidRPr="009C2854">
        <w:rPr>
          <w:sz w:val="18"/>
          <w:szCs w:val="18"/>
        </w:rPr>
        <w:t xml:space="preserve"> </w:t>
      </w:r>
      <w:r w:rsidRPr="009C2854">
        <w:rPr>
          <w:sz w:val="18"/>
          <w:szCs w:val="18"/>
        </w:rPr>
        <w:t>w oparciu o stopę procentową aktualną na dzień podpisania umowy.</w:t>
      </w:r>
      <w:r>
        <w:t xml:space="preserve"> </w:t>
      </w:r>
    </w:p>
  </w:footnote>
  <w:footnote w:id="7">
    <w:p w14:paraId="7D35DBEE" w14:textId="77777777" w:rsidR="00CB1D5C" w:rsidRPr="00316187" w:rsidRDefault="00CB1D5C">
      <w:pPr>
        <w:pStyle w:val="Tekstprzypisudolnego"/>
        <w:rPr>
          <w:sz w:val="18"/>
          <w:szCs w:val="18"/>
        </w:rPr>
      </w:pPr>
      <w:r w:rsidRPr="00316187">
        <w:rPr>
          <w:rStyle w:val="Odwoanieprzypisudolnego"/>
          <w:sz w:val="18"/>
          <w:szCs w:val="18"/>
        </w:rPr>
        <w:footnoteRef/>
      </w:r>
      <w:r w:rsidRPr="00316187">
        <w:rPr>
          <w:sz w:val="18"/>
          <w:szCs w:val="18"/>
        </w:rPr>
        <w:t xml:space="preserve"> Zgodnie z art. 7 (3 ) GBER „Pomoc wypłacana w kilku ratach jest dyskontowana do wartości w momencie jej przyznania”.</w:t>
      </w:r>
    </w:p>
  </w:footnote>
  <w:footnote w:id="8">
    <w:p w14:paraId="16432B0E" w14:textId="77777777" w:rsidR="00B43A70" w:rsidRPr="00316187" w:rsidRDefault="00B43A70" w:rsidP="00B43A70">
      <w:pPr>
        <w:pStyle w:val="Tekstprzypisudolnego"/>
        <w:rPr>
          <w:sz w:val="18"/>
          <w:szCs w:val="18"/>
        </w:rPr>
      </w:pPr>
      <w:r w:rsidRPr="00316187">
        <w:rPr>
          <w:rStyle w:val="Odwoanieprzypisudolnego"/>
          <w:sz w:val="18"/>
          <w:szCs w:val="18"/>
        </w:rPr>
        <w:footnoteRef/>
      </w:r>
      <w:r w:rsidRPr="00316187">
        <w:rPr>
          <w:sz w:val="18"/>
          <w:szCs w:val="18"/>
        </w:rPr>
        <w:t xml:space="preserve"> Na potrzeby dyskontowania pierwszy rok okresu odniesienia traktowany </w:t>
      </w:r>
      <w:r w:rsidR="007C2207" w:rsidRPr="00316187">
        <w:rPr>
          <w:sz w:val="18"/>
          <w:szCs w:val="18"/>
        </w:rPr>
        <w:t>jest, jako</w:t>
      </w:r>
      <w:r w:rsidRPr="00316187">
        <w:rPr>
          <w:sz w:val="18"/>
          <w:szCs w:val="18"/>
        </w:rPr>
        <w:t xml:space="preserve"> „rok zerowy” (t=0; współczynnik dyskontowy=1) prognoza przepływów pieniężnych powinna obejmować okres od roku zerowego do roku t, gdzie t oznacza liczbę lat okresu odniesienia przyjętego do analizy </w:t>
      </w:r>
      <w:r w:rsidRPr="005F3A66">
        <w:rPr>
          <w:sz w:val="18"/>
          <w:szCs w:val="18"/>
          <w:u w:val="single"/>
        </w:rPr>
        <w:t>pomniejszoną o 1</w:t>
      </w:r>
      <w:r w:rsidRPr="0031618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654C4" w14:textId="77777777" w:rsidR="00874A03" w:rsidRDefault="00874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D08"/>
    <w:multiLevelType w:val="hybridMultilevel"/>
    <w:tmpl w:val="C2FCDC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080"/>
    <w:multiLevelType w:val="hybridMultilevel"/>
    <w:tmpl w:val="E874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5EDE"/>
    <w:multiLevelType w:val="hybridMultilevel"/>
    <w:tmpl w:val="7ECE322C"/>
    <w:lvl w:ilvl="0" w:tplc="64F6A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F39"/>
    <w:multiLevelType w:val="hybridMultilevel"/>
    <w:tmpl w:val="70085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1DC3"/>
    <w:multiLevelType w:val="hybridMultilevel"/>
    <w:tmpl w:val="DDD85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49D3"/>
    <w:multiLevelType w:val="hybridMultilevel"/>
    <w:tmpl w:val="C1545F8E"/>
    <w:lvl w:ilvl="0" w:tplc="34E00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E5B54"/>
    <w:multiLevelType w:val="hybridMultilevel"/>
    <w:tmpl w:val="DDD85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7812"/>
    <w:multiLevelType w:val="multilevel"/>
    <w:tmpl w:val="5FBE94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04B8"/>
    <w:multiLevelType w:val="hybridMultilevel"/>
    <w:tmpl w:val="539C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0D48"/>
    <w:multiLevelType w:val="hybridMultilevel"/>
    <w:tmpl w:val="D4CAEC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063B"/>
    <w:multiLevelType w:val="hybridMultilevel"/>
    <w:tmpl w:val="7746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536C"/>
    <w:multiLevelType w:val="hybridMultilevel"/>
    <w:tmpl w:val="223A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6E2D"/>
    <w:multiLevelType w:val="hybridMultilevel"/>
    <w:tmpl w:val="8BFEEF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1878"/>
    <w:multiLevelType w:val="hybridMultilevel"/>
    <w:tmpl w:val="22DC9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7E93"/>
    <w:multiLevelType w:val="hybridMultilevel"/>
    <w:tmpl w:val="82902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4183"/>
    <w:multiLevelType w:val="hybridMultilevel"/>
    <w:tmpl w:val="486A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87FDB"/>
    <w:multiLevelType w:val="hybridMultilevel"/>
    <w:tmpl w:val="01CEA056"/>
    <w:lvl w:ilvl="0" w:tplc="5CB0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B7E30"/>
    <w:multiLevelType w:val="hybridMultilevel"/>
    <w:tmpl w:val="3D3EE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6055"/>
    <w:multiLevelType w:val="hybridMultilevel"/>
    <w:tmpl w:val="7298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664A9"/>
    <w:multiLevelType w:val="hybridMultilevel"/>
    <w:tmpl w:val="B31CE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0BBB"/>
    <w:multiLevelType w:val="hybridMultilevel"/>
    <w:tmpl w:val="5EA0A71A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B75"/>
    <w:multiLevelType w:val="hybridMultilevel"/>
    <w:tmpl w:val="F4B462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B6298"/>
    <w:multiLevelType w:val="hybridMultilevel"/>
    <w:tmpl w:val="41689CFE"/>
    <w:lvl w:ilvl="0" w:tplc="1E343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1C3C"/>
    <w:multiLevelType w:val="hybridMultilevel"/>
    <w:tmpl w:val="A6FA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3EA1"/>
    <w:multiLevelType w:val="hybridMultilevel"/>
    <w:tmpl w:val="9CA60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7D42"/>
    <w:multiLevelType w:val="hybridMultilevel"/>
    <w:tmpl w:val="59BE3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C9D"/>
    <w:multiLevelType w:val="hybridMultilevel"/>
    <w:tmpl w:val="0608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227BD"/>
    <w:multiLevelType w:val="hybridMultilevel"/>
    <w:tmpl w:val="C2C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B0E10"/>
    <w:multiLevelType w:val="hybridMultilevel"/>
    <w:tmpl w:val="378C4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6"/>
  </w:num>
  <w:num w:numId="5">
    <w:abstractNumId w:val="18"/>
  </w:num>
  <w:num w:numId="6">
    <w:abstractNumId w:val="28"/>
  </w:num>
  <w:num w:numId="7">
    <w:abstractNumId w:val="14"/>
  </w:num>
  <w:num w:numId="8">
    <w:abstractNumId w:val="24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22"/>
  </w:num>
  <w:num w:numId="18">
    <w:abstractNumId w:val="5"/>
  </w:num>
  <w:num w:numId="19">
    <w:abstractNumId w:val="9"/>
  </w:num>
  <w:num w:numId="20">
    <w:abstractNumId w:val="3"/>
  </w:num>
  <w:num w:numId="21">
    <w:abstractNumId w:val="12"/>
  </w:num>
  <w:num w:numId="22">
    <w:abstractNumId w:val="1"/>
  </w:num>
  <w:num w:numId="23">
    <w:abstractNumId w:val="23"/>
  </w:num>
  <w:num w:numId="24">
    <w:abstractNumId w:val="25"/>
  </w:num>
  <w:num w:numId="25">
    <w:abstractNumId w:val="4"/>
  </w:num>
  <w:num w:numId="26">
    <w:abstractNumId w:val="2"/>
  </w:num>
  <w:num w:numId="27">
    <w:abstractNumId w:val="15"/>
  </w:num>
  <w:num w:numId="28">
    <w:abstractNumId w:val="0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33"/>
    <w:rsid w:val="00014BA4"/>
    <w:rsid w:val="00035E25"/>
    <w:rsid w:val="000420A2"/>
    <w:rsid w:val="0004274E"/>
    <w:rsid w:val="00042E6E"/>
    <w:rsid w:val="0004475B"/>
    <w:rsid w:val="000456BA"/>
    <w:rsid w:val="00045AA9"/>
    <w:rsid w:val="00047EB9"/>
    <w:rsid w:val="0005480B"/>
    <w:rsid w:val="000569BB"/>
    <w:rsid w:val="00057071"/>
    <w:rsid w:val="0006063B"/>
    <w:rsid w:val="000840F7"/>
    <w:rsid w:val="00090148"/>
    <w:rsid w:val="000A239D"/>
    <w:rsid w:val="000B3976"/>
    <w:rsid w:val="000B5A90"/>
    <w:rsid w:val="000B6E59"/>
    <w:rsid w:val="000C42AB"/>
    <w:rsid w:val="000C5C33"/>
    <w:rsid w:val="000D64B0"/>
    <w:rsid w:val="000E1B2E"/>
    <w:rsid w:val="000E6B77"/>
    <w:rsid w:val="00101926"/>
    <w:rsid w:val="00103F01"/>
    <w:rsid w:val="0010573D"/>
    <w:rsid w:val="00111268"/>
    <w:rsid w:val="00114E27"/>
    <w:rsid w:val="0011778D"/>
    <w:rsid w:val="00120DB0"/>
    <w:rsid w:val="00121F5A"/>
    <w:rsid w:val="0012329C"/>
    <w:rsid w:val="00127D40"/>
    <w:rsid w:val="001439C7"/>
    <w:rsid w:val="00150ED5"/>
    <w:rsid w:val="0015187B"/>
    <w:rsid w:val="0015292A"/>
    <w:rsid w:val="00154413"/>
    <w:rsid w:val="001552C0"/>
    <w:rsid w:val="00155E54"/>
    <w:rsid w:val="00165C93"/>
    <w:rsid w:val="00190A89"/>
    <w:rsid w:val="00191260"/>
    <w:rsid w:val="001B5786"/>
    <w:rsid w:val="001B713C"/>
    <w:rsid w:val="001C3197"/>
    <w:rsid w:val="001C4525"/>
    <w:rsid w:val="001C4F5F"/>
    <w:rsid w:val="001D4758"/>
    <w:rsid w:val="001D4995"/>
    <w:rsid w:val="001D6D7E"/>
    <w:rsid w:val="001E0005"/>
    <w:rsid w:val="001E3931"/>
    <w:rsid w:val="002110FA"/>
    <w:rsid w:val="00220B27"/>
    <w:rsid w:val="00232073"/>
    <w:rsid w:val="002327D5"/>
    <w:rsid w:val="002347E4"/>
    <w:rsid w:val="00242B08"/>
    <w:rsid w:val="00245FB1"/>
    <w:rsid w:val="0024681E"/>
    <w:rsid w:val="00255796"/>
    <w:rsid w:val="00257FBE"/>
    <w:rsid w:val="0026096B"/>
    <w:rsid w:val="00266F80"/>
    <w:rsid w:val="00274414"/>
    <w:rsid w:val="0029316A"/>
    <w:rsid w:val="002A63EF"/>
    <w:rsid w:val="002B056D"/>
    <w:rsid w:val="002B34D8"/>
    <w:rsid w:val="002B3B43"/>
    <w:rsid w:val="002B4108"/>
    <w:rsid w:val="002B6A31"/>
    <w:rsid w:val="002B7C3A"/>
    <w:rsid w:val="002C172E"/>
    <w:rsid w:val="002C503C"/>
    <w:rsid w:val="002D66C1"/>
    <w:rsid w:val="002E4C50"/>
    <w:rsid w:val="002F5151"/>
    <w:rsid w:val="00304DA5"/>
    <w:rsid w:val="00315A93"/>
    <w:rsid w:val="00316187"/>
    <w:rsid w:val="003251AE"/>
    <w:rsid w:val="00325DB9"/>
    <w:rsid w:val="00326F5D"/>
    <w:rsid w:val="00342687"/>
    <w:rsid w:val="00343614"/>
    <w:rsid w:val="00354A4E"/>
    <w:rsid w:val="00355970"/>
    <w:rsid w:val="00357157"/>
    <w:rsid w:val="003718C5"/>
    <w:rsid w:val="00374B5D"/>
    <w:rsid w:val="00377269"/>
    <w:rsid w:val="0038029F"/>
    <w:rsid w:val="00397A26"/>
    <w:rsid w:val="00397C2E"/>
    <w:rsid w:val="003A020E"/>
    <w:rsid w:val="003A0E33"/>
    <w:rsid w:val="003A4A32"/>
    <w:rsid w:val="003C053F"/>
    <w:rsid w:val="003C1A44"/>
    <w:rsid w:val="003C56B6"/>
    <w:rsid w:val="003C62A1"/>
    <w:rsid w:val="003D2C65"/>
    <w:rsid w:val="003D6B03"/>
    <w:rsid w:val="003E50E9"/>
    <w:rsid w:val="003F32FC"/>
    <w:rsid w:val="003F60EB"/>
    <w:rsid w:val="00401C53"/>
    <w:rsid w:val="004249F7"/>
    <w:rsid w:val="00432311"/>
    <w:rsid w:val="00436585"/>
    <w:rsid w:val="00443BAA"/>
    <w:rsid w:val="00452C7F"/>
    <w:rsid w:val="0045316F"/>
    <w:rsid w:val="00455F0A"/>
    <w:rsid w:val="00461789"/>
    <w:rsid w:val="00462E84"/>
    <w:rsid w:val="00464F74"/>
    <w:rsid w:val="00465CF4"/>
    <w:rsid w:val="00466C44"/>
    <w:rsid w:val="00473634"/>
    <w:rsid w:val="0047392F"/>
    <w:rsid w:val="00473F27"/>
    <w:rsid w:val="004A266B"/>
    <w:rsid w:val="004A45D9"/>
    <w:rsid w:val="004B5E58"/>
    <w:rsid w:val="004B6FCF"/>
    <w:rsid w:val="004C4BBF"/>
    <w:rsid w:val="004C5D42"/>
    <w:rsid w:val="004D65B5"/>
    <w:rsid w:val="004D770A"/>
    <w:rsid w:val="004E3D4E"/>
    <w:rsid w:val="004E3E39"/>
    <w:rsid w:val="004E55DB"/>
    <w:rsid w:val="004E6629"/>
    <w:rsid w:val="004F5274"/>
    <w:rsid w:val="004F630C"/>
    <w:rsid w:val="00506A33"/>
    <w:rsid w:val="005147BF"/>
    <w:rsid w:val="00515F58"/>
    <w:rsid w:val="005278E4"/>
    <w:rsid w:val="005345F3"/>
    <w:rsid w:val="005424CE"/>
    <w:rsid w:val="00547E45"/>
    <w:rsid w:val="005506CD"/>
    <w:rsid w:val="00552F52"/>
    <w:rsid w:val="005535A5"/>
    <w:rsid w:val="00565EFB"/>
    <w:rsid w:val="0057739B"/>
    <w:rsid w:val="00582361"/>
    <w:rsid w:val="005851F1"/>
    <w:rsid w:val="005915D6"/>
    <w:rsid w:val="0059304D"/>
    <w:rsid w:val="0059347C"/>
    <w:rsid w:val="00595E57"/>
    <w:rsid w:val="005B036C"/>
    <w:rsid w:val="005B4EA5"/>
    <w:rsid w:val="005B54F9"/>
    <w:rsid w:val="005C4BEE"/>
    <w:rsid w:val="005C577F"/>
    <w:rsid w:val="005C72B1"/>
    <w:rsid w:val="005D0264"/>
    <w:rsid w:val="005F04A6"/>
    <w:rsid w:val="005F109A"/>
    <w:rsid w:val="005F2C2A"/>
    <w:rsid w:val="005F3A66"/>
    <w:rsid w:val="0060339D"/>
    <w:rsid w:val="00604AEA"/>
    <w:rsid w:val="006335E4"/>
    <w:rsid w:val="00633F5F"/>
    <w:rsid w:val="00633F80"/>
    <w:rsid w:val="006401DA"/>
    <w:rsid w:val="00646C31"/>
    <w:rsid w:val="00653230"/>
    <w:rsid w:val="006768A4"/>
    <w:rsid w:val="00676F55"/>
    <w:rsid w:val="00687924"/>
    <w:rsid w:val="006942D0"/>
    <w:rsid w:val="00696569"/>
    <w:rsid w:val="0069746B"/>
    <w:rsid w:val="006A13E9"/>
    <w:rsid w:val="006A2070"/>
    <w:rsid w:val="006A2B3B"/>
    <w:rsid w:val="006A706D"/>
    <w:rsid w:val="006B6361"/>
    <w:rsid w:val="006B6FD6"/>
    <w:rsid w:val="006C24B4"/>
    <w:rsid w:val="006C51AB"/>
    <w:rsid w:val="006C603D"/>
    <w:rsid w:val="006D4CE7"/>
    <w:rsid w:val="006E1CC5"/>
    <w:rsid w:val="006F2D1A"/>
    <w:rsid w:val="006F7D8C"/>
    <w:rsid w:val="007000E6"/>
    <w:rsid w:val="007021B8"/>
    <w:rsid w:val="00703F90"/>
    <w:rsid w:val="007162CA"/>
    <w:rsid w:val="00717304"/>
    <w:rsid w:val="00722EB9"/>
    <w:rsid w:val="00723ECF"/>
    <w:rsid w:val="007325EF"/>
    <w:rsid w:val="00741308"/>
    <w:rsid w:val="007458AD"/>
    <w:rsid w:val="00745C22"/>
    <w:rsid w:val="007505E6"/>
    <w:rsid w:val="0075740B"/>
    <w:rsid w:val="0077435A"/>
    <w:rsid w:val="00776BD6"/>
    <w:rsid w:val="0078462B"/>
    <w:rsid w:val="00793770"/>
    <w:rsid w:val="0079762F"/>
    <w:rsid w:val="007A2600"/>
    <w:rsid w:val="007A478C"/>
    <w:rsid w:val="007B094C"/>
    <w:rsid w:val="007B2BF5"/>
    <w:rsid w:val="007B4E39"/>
    <w:rsid w:val="007C2207"/>
    <w:rsid w:val="007D6C8A"/>
    <w:rsid w:val="007F0AC7"/>
    <w:rsid w:val="007F3994"/>
    <w:rsid w:val="007F49C8"/>
    <w:rsid w:val="00802E37"/>
    <w:rsid w:val="0080579D"/>
    <w:rsid w:val="008061B1"/>
    <w:rsid w:val="00812AC4"/>
    <w:rsid w:val="0081780D"/>
    <w:rsid w:val="00820052"/>
    <w:rsid w:val="008219EB"/>
    <w:rsid w:val="0082329D"/>
    <w:rsid w:val="00826389"/>
    <w:rsid w:val="00827A7E"/>
    <w:rsid w:val="00835EF7"/>
    <w:rsid w:val="00855A87"/>
    <w:rsid w:val="00861C6A"/>
    <w:rsid w:val="00862EA0"/>
    <w:rsid w:val="008635B1"/>
    <w:rsid w:val="00863D6F"/>
    <w:rsid w:val="00866761"/>
    <w:rsid w:val="00866F9C"/>
    <w:rsid w:val="00874A03"/>
    <w:rsid w:val="00875716"/>
    <w:rsid w:val="008771FD"/>
    <w:rsid w:val="00880819"/>
    <w:rsid w:val="0088588B"/>
    <w:rsid w:val="008905D7"/>
    <w:rsid w:val="0089143B"/>
    <w:rsid w:val="00891C2D"/>
    <w:rsid w:val="008A5138"/>
    <w:rsid w:val="008B11D2"/>
    <w:rsid w:val="008B13FF"/>
    <w:rsid w:val="008B1A2F"/>
    <w:rsid w:val="008B35D1"/>
    <w:rsid w:val="008B5713"/>
    <w:rsid w:val="008C0CE0"/>
    <w:rsid w:val="008D359E"/>
    <w:rsid w:val="008F3CB3"/>
    <w:rsid w:val="008F65F8"/>
    <w:rsid w:val="00900B46"/>
    <w:rsid w:val="00912030"/>
    <w:rsid w:val="00913A1C"/>
    <w:rsid w:val="00916C18"/>
    <w:rsid w:val="00920A34"/>
    <w:rsid w:val="009219CF"/>
    <w:rsid w:val="0092341C"/>
    <w:rsid w:val="00934CBE"/>
    <w:rsid w:val="00936739"/>
    <w:rsid w:val="0095102D"/>
    <w:rsid w:val="00954793"/>
    <w:rsid w:val="009556BF"/>
    <w:rsid w:val="00956349"/>
    <w:rsid w:val="009600AD"/>
    <w:rsid w:val="00960843"/>
    <w:rsid w:val="009617F7"/>
    <w:rsid w:val="00970574"/>
    <w:rsid w:val="00972628"/>
    <w:rsid w:val="00973953"/>
    <w:rsid w:val="0097447C"/>
    <w:rsid w:val="009747B2"/>
    <w:rsid w:val="00985CF3"/>
    <w:rsid w:val="00990AD4"/>
    <w:rsid w:val="0099473B"/>
    <w:rsid w:val="00995BA6"/>
    <w:rsid w:val="009A5393"/>
    <w:rsid w:val="009A5872"/>
    <w:rsid w:val="009A6E48"/>
    <w:rsid w:val="009B203A"/>
    <w:rsid w:val="009C2209"/>
    <w:rsid w:val="009C2854"/>
    <w:rsid w:val="009C688D"/>
    <w:rsid w:val="009C6960"/>
    <w:rsid w:val="009D09E5"/>
    <w:rsid w:val="009D4D8F"/>
    <w:rsid w:val="009D566A"/>
    <w:rsid w:val="009D6849"/>
    <w:rsid w:val="009E0FD8"/>
    <w:rsid w:val="009E1F9E"/>
    <w:rsid w:val="009F1C1A"/>
    <w:rsid w:val="009F3184"/>
    <w:rsid w:val="009F7B81"/>
    <w:rsid w:val="00A06664"/>
    <w:rsid w:val="00A135E3"/>
    <w:rsid w:val="00A26986"/>
    <w:rsid w:val="00A2700C"/>
    <w:rsid w:val="00A34A71"/>
    <w:rsid w:val="00A418D2"/>
    <w:rsid w:val="00A50A55"/>
    <w:rsid w:val="00A539F6"/>
    <w:rsid w:val="00A55F94"/>
    <w:rsid w:val="00A60247"/>
    <w:rsid w:val="00A62834"/>
    <w:rsid w:val="00A669BF"/>
    <w:rsid w:val="00A82498"/>
    <w:rsid w:val="00A94E89"/>
    <w:rsid w:val="00A97FC5"/>
    <w:rsid w:val="00AA1D20"/>
    <w:rsid w:val="00AA20F7"/>
    <w:rsid w:val="00AA3C00"/>
    <w:rsid w:val="00AB0030"/>
    <w:rsid w:val="00AB01F6"/>
    <w:rsid w:val="00AB2599"/>
    <w:rsid w:val="00AB5132"/>
    <w:rsid w:val="00AC2B78"/>
    <w:rsid w:val="00AC33CB"/>
    <w:rsid w:val="00AD2B39"/>
    <w:rsid w:val="00AD67F4"/>
    <w:rsid w:val="00AE67F3"/>
    <w:rsid w:val="00AF447A"/>
    <w:rsid w:val="00B014A8"/>
    <w:rsid w:val="00B01861"/>
    <w:rsid w:val="00B03DAB"/>
    <w:rsid w:val="00B0441D"/>
    <w:rsid w:val="00B0712F"/>
    <w:rsid w:val="00B107F1"/>
    <w:rsid w:val="00B141F5"/>
    <w:rsid w:val="00B170CB"/>
    <w:rsid w:val="00B227A1"/>
    <w:rsid w:val="00B26C00"/>
    <w:rsid w:val="00B30664"/>
    <w:rsid w:val="00B31635"/>
    <w:rsid w:val="00B36158"/>
    <w:rsid w:val="00B40843"/>
    <w:rsid w:val="00B426E4"/>
    <w:rsid w:val="00B43A70"/>
    <w:rsid w:val="00B52292"/>
    <w:rsid w:val="00B5457A"/>
    <w:rsid w:val="00B627B0"/>
    <w:rsid w:val="00B670BA"/>
    <w:rsid w:val="00B83BEA"/>
    <w:rsid w:val="00B84338"/>
    <w:rsid w:val="00BA4B8E"/>
    <w:rsid w:val="00BA7590"/>
    <w:rsid w:val="00BB1E4E"/>
    <w:rsid w:val="00BB302D"/>
    <w:rsid w:val="00BB7704"/>
    <w:rsid w:val="00BC4116"/>
    <w:rsid w:val="00BC41E1"/>
    <w:rsid w:val="00BC7AFC"/>
    <w:rsid w:val="00BE2480"/>
    <w:rsid w:val="00BE2515"/>
    <w:rsid w:val="00BE4F93"/>
    <w:rsid w:val="00BE605B"/>
    <w:rsid w:val="00BF0F7F"/>
    <w:rsid w:val="00BF6989"/>
    <w:rsid w:val="00C0366C"/>
    <w:rsid w:val="00C0400A"/>
    <w:rsid w:val="00C0579F"/>
    <w:rsid w:val="00C14E4E"/>
    <w:rsid w:val="00C25F86"/>
    <w:rsid w:val="00C3089A"/>
    <w:rsid w:val="00C34CEA"/>
    <w:rsid w:val="00C37F10"/>
    <w:rsid w:val="00C51754"/>
    <w:rsid w:val="00C554A5"/>
    <w:rsid w:val="00C56C74"/>
    <w:rsid w:val="00C63112"/>
    <w:rsid w:val="00C641B4"/>
    <w:rsid w:val="00C67697"/>
    <w:rsid w:val="00C77690"/>
    <w:rsid w:val="00C8147E"/>
    <w:rsid w:val="00C85977"/>
    <w:rsid w:val="00CA2108"/>
    <w:rsid w:val="00CA2871"/>
    <w:rsid w:val="00CB1D5C"/>
    <w:rsid w:val="00CB4317"/>
    <w:rsid w:val="00CB7E3A"/>
    <w:rsid w:val="00CC51AF"/>
    <w:rsid w:val="00CD78E6"/>
    <w:rsid w:val="00CE13E3"/>
    <w:rsid w:val="00CE41C3"/>
    <w:rsid w:val="00CE5757"/>
    <w:rsid w:val="00D071A9"/>
    <w:rsid w:val="00D15B9D"/>
    <w:rsid w:val="00D25A4B"/>
    <w:rsid w:val="00D26A19"/>
    <w:rsid w:val="00D309CC"/>
    <w:rsid w:val="00D34ED6"/>
    <w:rsid w:val="00D40BA8"/>
    <w:rsid w:val="00D4674D"/>
    <w:rsid w:val="00D54313"/>
    <w:rsid w:val="00D6066C"/>
    <w:rsid w:val="00DA0FEC"/>
    <w:rsid w:val="00DA27FF"/>
    <w:rsid w:val="00DA7981"/>
    <w:rsid w:val="00DB16AB"/>
    <w:rsid w:val="00DC2402"/>
    <w:rsid w:val="00DF321D"/>
    <w:rsid w:val="00E05164"/>
    <w:rsid w:val="00E31BF3"/>
    <w:rsid w:val="00E344CE"/>
    <w:rsid w:val="00E46950"/>
    <w:rsid w:val="00E57AEC"/>
    <w:rsid w:val="00E71157"/>
    <w:rsid w:val="00E72E19"/>
    <w:rsid w:val="00E91300"/>
    <w:rsid w:val="00E91393"/>
    <w:rsid w:val="00E9414A"/>
    <w:rsid w:val="00E944FD"/>
    <w:rsid w:val="00EA2625"/>
    <w:rsid w:val="00EA3146"/>
    <w:rsid w:val="00EB0A87"/>
    <w:rsid w:val="00EC2C89"/>
    <w:rsid w:val="00EC4A79"/>
    <w:rsid w:val="00ED7326"/>
    <w:rsid w:val="00ED7A27"/>
    <w:rsid w:val="00EE5189"/>
    <w:rsid w:val="00EE54F9"/>
    <w:rsid w:val="00EF6D1C"/>
    <w:rsid w:val="00F0349E"/>
    <w:rsid w:val="00F05A6E"/>
    <w:rsid w:val="00F105E1"/>
    <w:rsid w:val="00F13710"/>
    <w:rsid w:val="00F14B32"/>
    <w:rsid w:val="00F17406"/>
    <w:rsid w:val="00F17B60"/>
    <w:rsid w:val="00F210C4"/>
    <w:rsid w:val="00F21192"/>
    <w:rsid w:val="00F30C23"/>
    <w:rsid w:val="00F314D8"/>
    <w:rsid w:val="00F363B7"/>
    <w:rsid w:val="00F366EF"/>
    <w:rsid w:val="00F37A1F"/>
    <w:rsid w:val="00F444C2"/>
    <w:rsid w:val="00F47D67"/>
    <w:rsid w:val="00F50380"/>
    <w:rsid w:val="00F64746"/>
    <w:rsid w:val="00F6538D"/>
    <w:rsid w:val="00F707E2"/>
    <w:rsid w:val="00F821B2"/>
    <w:rsid w:val="00F92C45"/>
    <w:rsid w:val="00F9546C"/>
    <w:rsid w:val="00FA52F1"/>
    <w:rsid w:val="00FB2A85"/>
    <w:rsid w:val="00FC7B89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2FF64A-A234-4967-8E3A-D25FB73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B7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51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5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A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0A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8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E13E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55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796"/>
  </w:style>
  <w:style w:type="paragraph" w:styleId="Stopka">
    <w:name w:val="footer"/>
    <w:basedOn w:val="Normalny"/>
    <w:link w:val="StopkaZnak"/>
    <w:uiPriority w:val="99"/>
    <w:unhideWhenUsed/>
    <w:rsid w:val="00255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7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9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994"/>
  </w:style>
  <w:style w:type="character" w:styleId="Odwoanieprzypisudolnego">
    <w:name w:val="footnote reference"/>
    <w:basedOn w:val="Domylnaczcionkaakapitu"/>
    <w:uiPriority w:val="99"/>
    <w:semiHidden/>
    <w:unhideWhenUsed/>
    <w:rsid w:val="007F39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D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D5C"/>
  </w:style>
  <w:style w:type="character" w:styleId="Odwoanieprzypisukocowego">
    <w:name w:val="endnote reference"/>
    <w:basedOn w:val="Domylnaczcionkaakapitu"/>
    <w:uiPriority w:val="99"/>
    <w:semiHidden/>
    <w:unhideWhenUsed/>
    <w:rsid w:val="00CB1D5C"/>
    <w:rPr>
      <w:vertAlign w:val="superscript"/>
    </w:rPr>
  </w:style>
  <w:style w:type="paragraph" w:styleId="Poprawka">
    <w:name w:val="Revision"/>
    <w:hidden/>
    <w:uiPriority w:val="99"/>
    <w:semiHidden/>
    <w:rsid w:val="00552F52"/>
  </w:style>
  <w:style w:type="character" w:styleId="Hipercze">
    <w:name w:val="Hyperlink"/>
    <w:basedOn w:val="Domylnaczcionkaakapitu"/>
    <w:uiPriority w:val="99"/>
    <w:unhideWhenUsed/>
    <w:rsid w:val="004A45D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35E3"/>
    <w:rPr>
      <w:rFonts w:ascii="Calibri" w:hAnsi="Calibri" w:cstheme="minorBidi"/>
      <w:sz w:val="22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5E3"/>
    <w:rPr>
      <w:rFonts w:ascii="Calibr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B47F-876D-4522-B174-DAA5110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KOZIERKIEWICZ Adam</dc:creator>
  <cp:lastModifiedBy>Mariusz Pulikowski</cp:lastModifiedBy>
  <cp:revision>5</cp:revision>
  <cp:lastPrinted>2015-12-03T14:14:00Z</cp:lastPrinted>
  <dcterms:created xsi:type="dcterms:W3CDTF">2015-12-18T09:08:00Z</dcterms:created>
  <dcterms:modified xsi:type="dcterms:W3CDTF">2018-10-16T13:14:00Z</dcterms:modified>
</cp:coreProperties>
</file>